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1177290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1195070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UNITED STATES 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83185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jc w:val="center"/>
        <w:ind w:right="60"/>
        <w:spacing w:after="0"/>
        <w:rPr>
          <w:sz w:val="20"/>
          <w:szCs w:val="20"/>
          <w:color w:val="auto"/>
        </w:rPr>
      </w:pPr>
      <w:r>
        <w:rPr>
          <w:rFonts w:ascii="Arial" w:cs="Arial" w:eastAsia="Arial" w:hAnsi="Arial"/>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101600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42" w:lineRule="exact"/>
        <w:rPr>
          <w:sz w:val="24"/>
          <w:szCs w:val="24"/>
          <w:color w:val="auto"/>
        </w:rPr>
      </w:pPr>
    </w:p>
    <w:p>
      <w:pPr>
        <w:ind w:left="1860" w:hanging="336"/>
        <w:spacing w:after="0"/>
        <w:tabs>
          <w:tab w:leader="none" w:pos="186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121"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For the quarterly period ended September 30, 2025</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99" w:lineRule="exact"/>
        <w:rPr>
          <w:sz w:val="24"/>
          <w:szCs w:val="24"/>
          <w:color w:val="auto"/>
        </w:rPr>
      </w:pPr>
    </w:p>
    <w:p>
      <w:pPr>
        <w:ind w:left="4520" w:right="1680" w:hanging="2839"/>
        <w:spacing w:after="0" w:line="436" w:lineRule="auto"/>
        <w:tabs>
          <w:tab w:leader="none" w:pos="1998"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TRANSITION REPORT PURSUANT TO SECTION 13 OR 15(d) OF </w:t>
      </w:r>
      <w:r>
        <w:rPr>
          <w:rFonts w:ascii="Arial" w:cs="Arial" w:eastAsia="Arial" w:hAnsi="Arial"/>
          <w:sz w:val="15"/>
          <w:szCs w:val="15"/>
          <w:b w:val="1"/>
          <w:bCs w:val="1"/>
          <w:color w:val="auto"/>
        </w:rPr>
        <w:t>THE SECURITIES EXCHANGE ACT OF 1934</w:t>
      </w:r>
      <w:r>
        <w:rPr>
          <w:rFonts w:ascii="Arial" w:cs="Arial" w:eastAsia="Arial" w:hAnsi="Arial"/>
          <w:sz w:val="14"/>
          <w:szCs w:val="14"/>
          <w:b w:val="1"/>
          <w:bCs w:val="1"/>
          <w:color w:val="auto"/>
        </w:rPr>
        <w:t xml:space="preserve"> </w:t>
      </w:r>
      <w:r>
        <w:rPr>
          <w:rFonts w:ascii="Arial" w:cs="Arial" w:eastAsia="Arial" w:hAnsi="Arial"/>
          <w:sz w:val="15"/>
          <w:szCs w:val="15"/>
          <w:color w:val="auto"/>
        </w:rPr>
        <w:t>Commission file number 1-6961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-16510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397"/>
        </w:trPr>
        <w:tc>
          <w:tcPr>
            <w:tcW w:w="3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80" w:type="dxa"/>
            <w:vAlign w:val="bottom"/>
            <w:gridSpan w:val="2"/>
          </w:tcPr>
          <w:p>
            <w:pPr>
              <w:jc w:val="center"/>
              <w:ind w:right="500"/>
              <w:spacing w:after="0"/>
              <w:rPr>
                <w:sz w:val="20"/>
                <w:szCs w:val="20"/>
                <w:color w:val="auto"/>
              </w:rPr>
            </w:pPr>
            <w:r>
              <w:rPr>
                <w:rFonts w:ascii="Arial" w:cs="Arial" w:eastAsia="Arial" w:hAnsi="Arial"/>
                <w:sz w:val="29"/>
                <w:szCs w:val="29"/>
                <w:b w:val="1"/>
                <w:bCs w:val="1"/>
                <w:color w:val="auto"/>
                <w:w w:val="99"/>
              </w:rPr>
              <w:t>TEGNA INC.</w:t>
            </w:r>
          </w:p>
        </w:tc>
        <w:tc>
          <w:tcPr>
            <w:tcW w:w="1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40" w:type="dxa"/>
            <w:vAlign w:val="bottom"/>
            <w:gridSpan w:val="3"/>
          </w:tcPr>
          <w:p>
            <w:pPr>
              <w:jc w:val="center"/>
              <w:ind w:left="4"/>
              <w:spacing w:after="0"/>
              <w:rPr>
                <w:sz w:val="20"/>
                <w:szCs w:val="20"/>
                <w:color w:val="auto"/>
              </w:rPr>
            </w:pPr>
            <w:r>
              <w:rPr>
                <w:rFonts w:ascii="Arial" w:cs="Arial" w:eastAsia="Arial" w:hAnsi="Arial"/>
                <w:sz w:val="15"/>
                <w:szCs w:val="15"/>
                <w:color w:val="auto"/>
              </w:rPr>
              <w:t>(Exact name of registrant as specified in its charter)</w:t>
            </w:r>
          </w:p>
        </w:tc>
        <w:tc>
          <w:tcPr>
            <w:tcW w:w="12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7"/>
        </w:trPr>
        <w:tc>
          <w:tcPr>
            <w:tcW w:w="3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4300" w:type="dxa"/>
            <w:vAlign w:val="bottom"/>
            <w:gridSpan w:val="3"/>
          </w:tcPr>
          <w:p>
            <w:pPr>
              <w:jc w:val="center"/>
              <w:ind w:left="324"/>
              <w:spacing w:after="0"/>
              <w:rPr>
                <w:sz w:val="20"/>
                <w:szCs w:val="20"/>
                <w:color w:val="auto"/>
              </w:rPr>
            </w:pPr>
            <w:r>
              <w:rPr>
                <w:rFonts w:ascii="Arial" w:cs="Arial" w:eastAsia="Arial" w:hAnsi="Arial"/>
                <w:sz w:val="15"/>
                <w:szCs w:val="15"/>
                <w:b w:val="1"/>
                <w:bCs w:val="1"/>
                <w:color w:val="auto"/>
              </w:rPr>
              <w:t>Delaware</w:t>
            </w:r>
          </w:p>
        </w:tc>
        <w:tc>
          <w:tcPr>
            <w:tcW w:w="2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60" w:type="dxa"/>
            <w:vAlign w:val="bottom"/>
            <w:gridSpan w:val="2"/>
          </w:tcPr>
          <w:p>
            <w:pPr>
              <w:jc w:val="center"/>
              <w:ind w:right="364"/>
              <w:spacing w:after="0"/>
              <w:rPr>
                <w:sz w:val="20"/>
                <w:szCs w:val="20"/>
                <w:color w:val="auto"/>
              </w:rPr>
            </w:pPr>
            <w:r>
              <w:rPr>
                <w:rFonts w:ascii="Arial" w:cs="Arial" w:eastAsia="Arial" w:hAnsi="Arial"/>
                <w:sz w:val="15"/>
                <w:szCs w:val="15"/>
                <w:b w:val="1"/>
                <w:bCs w:val="1"/>
                <w:color w:val="auto"/>
              </w:rPr>
              <w:t>16-0442930</w:t>
            </w:r>
          </w:p>
        </w:tc>
        <w:tc>
          <w:tcPr>
            <w:tcW w:w="0" w:type="dxa"/>
            <w:vAlign w:val="bottom"/>
          </w:tcPr>
          <w:p>
            <w:pPr>
              <w:spacing w:after="0"/>
              <w:rPr>
                <w:sz w:val="1"/>
                <w:szCs w:val="1"/>
                <w:color w:val="auto"/>
              </w:rPr>
            </w:pPr>
          </w:p>
        </w:tc>
      </w:tr>
      <w:tr>
        <w:trPr>
          <w:trHeight w:val="162"/>
        </w:trPr>
        <w:tc>
          <w:tcPr>
            <w:tcW w:w="4300" w:type="dxa"/>
            <w:vAlign w:val="bottom"/>
            <w:gridSpan w:val="3"/>
          </w:tcPr>
          <w:p>
            <w:pPr>
              <w:jc w:val="center"/>
              <w:ind w:left="264"/>
              <w:spacing w:after="0" w:line="162" w:lineRule="exact"/>
              <w:rPr>
                <w:sz w:val="20"/>
                <w:szCs w:val="20"/>
                <w:color w:val="auto"/>
              </w:rPr>
            </w:pPr>
            <w:r>
              <w:rPr>
                <w:rFonts w:ascii="Arial" w:cs="Arial" w:eastAsia="Arial" w:hAnsi="Arial"/>
                <w:sz w:val="15"/>
                <w:szCs w:val="15"/>
                <w:color w:val="auto"/>
              </w:rPr>
              <w:t>(State or other jurisdiction of incorporation</w:t>
            </w:r>
          </w:p>
        </w:tc>
        <w:tc>
          <w:tcPr>
            <w:tcW w:w="2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300" w:type="dxa"/>
            <w:vAlign w:val="bottom"/>
            <w:gridSpan w:val="3"/>
          </w:tcPr>
          <w:p>
            <w:pPr>
              <w:jc w:val="center"/>
              <w:ind w:left="324"/>
              <w:spacing w:after="0"/>
              <w:rPr>
                <w:sz w:val="20"/>
                <w:szCs w:val="20"/>
                <w:color w:val="auto"/>
              </w:rPr>
            </w:pPr>
            <w:r>
              <w:rPr>
                <w:rFonts w:ascii="Arial" w:cs="Arial" w:eastAsia="Arial" w:hAnsi="Arial"/>
                <w:sz w:val="15"/>
                <w:szCs w:val="15"/>
                <w:color w:val="auto"/>
              </w:rPr>
              <w:t>or organization)</w:t>
            </w:r>
          </w:p>
        </w:tc>
        <w:tc>
          <w:tcPr>
            <w:tcW w:w="2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Pr>
          <w:p>
            <w:pPr>
              <w:jc w:val="center"/>
              <w:ind w:right="504"/>
              <w:spacing w:after="0"/>
              <w:rPr>
                <w:sz w:val="20"/>
                <w:szCs w:val="20"/>
                <w:color w:val="auto"/>
              </w:rPr>
            </w:pPr>
            <w:r>
              <w:rPr>
                <w:rFonts w:ascii="Arial" w:cs="Arial" w:eastAsia="Arial" w:hAnsi="Arial"/>
                <w:sz w:val="15"/>
                <w:szCs w:val="15"/>
                <w:color w:val="auto"/>
              </w:rPr>
              <w:t>(I.R.S. Employer Identification No.)</w:t>
            </w:r>
          </w:p>
        </w:tc>
        <w:tc>
          <w:tcPr>
            <w:tcW w:w="0" w:type="dxa"/>
            <w:vAlign w:val="bottom"/>
          </w:tcPr>
          <w:p>
            <w:pPr>
              <w:spacing w:after="0"/>
              <w:rPr>
                <w:sz w:val="1"/>
                <w:szCs w:val="1"/>
                <w:color w:val="auto"/>
              </w:rPr>
            </w:pPr>
          </w:p>
        </w:tc>
      </w:tr>
      <w:tr>
        <w:trPr>
          <w:trHeight w:val="243"/>
        </w:trPr>
        <w:tc>
          <w:tcPr>
            <w:tcW w:w="4300" w:type="dxa"/>
            <w:vAlign w:val="bottom"/>
            <w:gridSpan w:val="3"/>
          </w:tcPr>
          <w:p>
            <w:pPr>
              <w:jc w:val="center"/>
              <w:ind w:left="284"/>
              <w:spacing w:after="0"/>
              <w:rPr>
                <w:sz w:val="20"/>
                <w:szCs w:val="20"/>
                <w:color w:val="auto"/>
              </w:rPr>
            </w:pPr>
            <w:r>
              <w:rPr>
                <w:rFonts w:ascii="Arial" w:cs="Arial" w:eastAsia="Arial" w:hAnsi="Arial"/>
                <w:sz w:val="15"/>
                <w:szCs w:val="15"/>
                <w:b w:val="1"/>
                <w:bCs w:val="1"/>
                <w:color w:val="auto"/>
              </w:rPr>
              <w:t>8350 Broad Street, Suite 2000,</w:t>
            </w:r>
          </w:p>
        </w:tc>
        <w:tc>
          <w:tcPr>
            <w:tcW w:w="2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60" w:type="dxa"/>
            <w:vAlign w:val="bottom"/>
            <w:gridSpan w:val="2"/>
            <w:vMerge w:val="restart"/>
          </w:tcPr>
          <w:p>
            <w:pPr>
              <w:jc w:val="center"/>
              <w:ind w:right="364"/>
              <w:spacing w:after="0"/>
              <w:rPr>
                <w:sz w:val="20"/>
                <w:szCs w:val="20"/>
                <w:color w:val="auto"/>
              </w:rPr>
            </w:pPr>
            <w:r>
              <w:rPr>
                <w:rFonts w:ascii="Arial" w:cs="Arial" w:eastAsia="Arial" w:hAnsi="Arial"/>
                <w:sz w:val="15"/>
                <w:szCs w:val="15"/>
                <w:b w:val="1"/>
                <w:bCs w:val="1"/>
                <w:color w:val="auto"/>
              </w:rPr>
              <w:t>22102-5151</w:t>
            </w:r>
          </w:p>
        </w:tc>
        <w:tc>
          <w:tcPr>
            <w:tcW w:w="0" w:type="dxa"/>
            <w:vAlign w:val="bottom"/>
          </w:tcPr>
          <w:p>
            <w:pPr>
              <w:spacing w:after="0"/>
              <w:rPr>
                <w:sz w:val="1"/>
                <w:szCs w:val="1"/>
                <w:color w:val="auto"/>
              </w:rPr>
            </w:pPr>
          </w:p>
        </w:tc>
      </w:tr>
      <w:tr>
        <w:trPr>
          <w:trHeight w:val="164"/>
        </w:trPr>
        <w:tc>
          <w:tcPr>
            <w:tcW w:w="4300" w:type="dxa"/>
            <w:vAlign w:val="bottom"/>
            <w:gridSpan w:val="3"/>
          </w:tcPr>
          <w:p>
            <w:pPr>
              <w:jc w:val="center"/>
              <w:ind w:left="324"/>
              <w:spacing w:after="0" w:line="164" w:lineRule="exact"/>
              <w:rPr>
                <w:sz w:val="20"/>
                <w:szCs w:val="20"/>
                <w:color w:val="auto"/>
              </w:rPr>
            </w:pPr>
            <w:r>
              <w:rPr>
                <w:rFonts w:ascii="Arial" w:cs="Arial" w:eastAsia="Arial" w:hAnsi="Arial"/>
                <w:sz w:val="15"/>
                <w:szCs w:val="15"/>
                <w:b w:val="1"/>
                <w:bCs w:val="1"/>
                <w:color w:val="auto"/>
              </w:rPr>
              <w:t>Tysons, Virginia</w:t>
            </w:r>
          </w:p>
        </w:tc>
        <w:tc>
          <w:tcPr>
            <w:tcW w:w="2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300" w:type="dxa"/>
            <w:vAlign w:val="bottom"/>
            <w:gridSpan w:val="3"/>
          </w:tcPr>
          <w:p>
            <w:pPr>
              <w:jc w:val="center"/>
              <w:ind w:left="324"/>
              <w:spacing w:after="0"/>
              <w:rPr>
                <w:sz w:val="20"/>
                <w:szCs w:val="20"/>
                <w:color w:val="auto"/>
              </w:rPr>
            </w:pPr>
            <w:r>
              <w:rPr>
                <w:rFonts w:ascii="Arial" w:cs="Arial" w:eastAsia="Arial" w:hAnsi="Arial"/>
                <w:sz w:val="15"/>
                <w:szCs w:val="15"/>
                <w:color w:val="auto"/>
              </w:rPr>
              <w:t>(Address of principal executive offices)</w:t>
            </w:r>
          </w:p>
        </w:tc>
        <w:tc>
          <w:tcPr>
            <w:tcW w:w="2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Pr>
          <w:p>
            <w:pPr>
              <w:jc w:val="center"/>
              <w:ind w:right="504"/>
              <w:spacing w:after="0"/>
              <w:rPr>
                <w:sz w:val="20"/>
                <w:szCs w:val="20"/>
                <w:color w:val="auto"/>
              </w:rPr>
            </w:pPr>
            <w:r>
              <w:rPr>
                <w:rFonts w:ascii="Arial" w:cs="Arial" w:eastAsia="Arial" w:hAnsi="Arial"/>
                <w:sz w:val="15"/>
                <w:szCs w:val="15"/>
                <w:color w:val="auto"/>
              </w:rPr>
              <w:t>(Zip Code)</w:t>
            </w:r>
          </w:p>
        </w:tc>
        <w:tc>
          <w:tcPr>
            <w:tcW w:w="0" w:type="dxa"/>
            <w:vAlign w:val="bottom"/>
          </w:tcPr>
          <w:p>
            <w:pPr>
              <w:spacing w:after="0"/>
              <w:rPr>
                <w:sz w:val="1"/>
                <w:szCs w:val="1"/>
                <w:color w:val="auto"/>
              </w:rPr>
            </w:pPr>
          </w:p>
        </w:tc>
      </w:tr>
      <w:tr>
        <w:trPr>
          <w:trHeight w:val="245"/>
        </w:trPr>
        <w:tc>
          <w:tcPr>
            <w:tcW w:w="3240" w:type="dxa"/>
            <w:vAlign w:val="bottom"/>
          </w:tcPr>
          <w:p>
            <w:pPr>
              <w:jc w:val="center"/>
              <w:ind w:left="1384"/>
              <w:spacing w:after="0"/>
              <w:rPr>
                <w:sz w:val="20"/>
                <w:szCs w:val="20"/>
                <w:color w:val="auto"/>
              </w:rPr>
            </w:pPr>
            <w:r>
              <w:rPr>
                <w:rFonts w:ascii="Arial" w:cs="Arial" w:eastAsia="Arial" w:hAnsi="Arial"/>
                <w:sz w:val="15"/>
                <w:szCs w:val="15"/>
                <w:color w:val="auto"/>
              </w:rPr>
              <w:t>(703) 873-6600</w:t>
            </w: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300" w:type="dxa"/>
            <w:vAlign w:val="bottom"/>
            <w:gridSpan w:val="3"/>
          </w:tcPr>
          <w:p>
            <w:pPr>
              <w:jc w:val="center"/>
              <w:ind w:left="324"/>
              <w:spacing w:after="0"/>
              <w:rPr>
                <w:sz w:val="20"/>
                <w:szCs w:val="20"/>
                <w:color w:val="auto"/>
              </w:rPr>
            </w:pPr>
            <w:r>
              <w:rPr>
                <w:rFonts w:ascii="Arial" w:cs="Arial" w:eastAsia="Arial" w:hAnsi="Arial"/>
                <w:sz w:val="15"/>
                <w:szCs w:val="15"/>
                <w:color w:val="auto"/>
              </w:rPr>
              <w:t>(Registrant’s telephone number, including area code)</w:t>
            </w:r>
          </w:p>
        </w:tc>
        <w:tc>
          <w:tcPr>
            <w:tcW w:w="2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4300" w:type="dxa"/>
            <w:vAlign w:val="bottom"/>
            <w:gridSpan w:val="3"/>
          </w:tcPr>
          <w:p>
            <w:pPr>
              <w:ind w:left="60"/>
              <w:spacing w:after="0"/>
              <w:rPr>
                <w:sz w:val="20"/>
                <w:szCs w:val="20"/>
                <w:color w:val="auto"/>
              </w:rPr>
            </w:pPr>
            <w:r>
              <w:rPr>
                <w:rFonts w:ascii="Arial" w:cs="Arial" w:eastAsia="Arial" w:hAnsi="Arial"/>
                <w:sz w:val="15"/>
                <w:szCs w:val="15"/>
                <w:color w:val="auto"/>
              </w:rPr>
              <w:t>Securities registered pursuant to Section 12(b) of the Act:</w:t>
            </w:r>
          </w:p>
        </w:tc>
        <w:tc>
          <w:tcPr>
            <w:tcW w:w="2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2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2"/>
          </w:tcPr>
          <w:p>
            <w:pPr>
              <w:spacing w:after="0"/>
              <w:rPr>
                <w:sz w:val="11"/>
                <w:szCs w:val="11"/>
                <w:color w:val="auto"/>
              </w:rPr>
            </w:pPr>
          </w:p>
        </w:tc>
        <w:tc>
          <w:tcPr>
            <w:tcW w:w="25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860" w:type="dxa"/>
            <w:vAlign w:val="bottom"/>
            <w:tcBorders>
              <w:bottom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3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Title of each class</w:t>
            </w:r>
          </w:p>
        </w:tc>
        <w:tc>
          <w:tcPr>
            <w:tcW w:w="1060" w:type="dxa"/>
            <w:vAlign w:val="bottom"/>
            <w:tcBorders>
              <w:bottom w:val="single" w:sz="8" w:color="auto"/>
            </w:tcBorders>
            <w:gridSpan w:val="2"/>
          </w:tcPr>
          <w:p>
            <w:pPr>
              <w:spacing w:after="0"/>
              <w:rPr>
                <w:sz w:val="19"/>
                <w:szCs w:val="19"/>
                <w:color w:val="auto"/>
              </w:rPr>
            </w:pPr>
          </w:p>
        </w:tc>
        <w:tc>
          <w:tcPr>
            <w:tcW w:w="2560" w:type="dxa"/>
            <w:vAlign w:val="bottom"/>
            <w:tcBorders>
              <w:bottom w:val="single" w:sz="8" w:color="auto"/>
              <w:right w:val="single" w:sz="8" w:color="auto"/>
            </w:tcBorders>
          </w:tcPr>
          <w:p>
            <w:pPr>
              <w:jc w:val="center"/>
              <w:ind w:right="981"/>
              <w:spacing w:after="0"/>
              <w:rPr>
                <w:sz w:val="20"/>
                <w:szCs w:val="20"/>
                <w:color w:val="auto"/>
              </w:rPr>
            </w:pPr>
            <w:r>
              <w:rPr>
                <w:rFonts w:ascii="Arial" w:cs="Arial" w:eastAsia="Arial" w:hAnsi="Arial"/>
                <w:sz w:val="15"/>
                <w:szCs w:val="15"/>
                <w:b w:val="1"/>
                <w:bCs w:val="1"/>
                <w:color w:val="auto"/>
              </w:rPr>
              <w:t>Trading Symbol</w:t>
            </w:r>
          </w:p>
        </w:tc>
        <w:tc>
          <w:tcPr>
            <w:tcW w:w="520" w:type="dxa"/>
            <w:vAlign w:val="bottom"/>
            <w:tcBorders>
              <w:bottom w:val="single" w:sz="8" w:color="auto"/>
            </w:tcBorders>
          </w:tcPr>
          <w:p>
            <w:pPr>
              <w:spacing w:after="0"/>
              <w:rPr>
                <w:sz w:val="19"/>
                <w:szCs w:val="19"/>
                <w:color w:val="auto"/>
              </w:rPr>
            </w:pPr>
          </w:p>
        </w:tc>
        <w:tc>
          <w:tcPr>
            <w:tcW w:w="3860" w:type="dxa"/>
            <w:vAlign w:val="bottom"/>
            <w:tcBorders>
              <w:bottom w:val="single" w:sz="8" w:color="auto"/>
              <w:right w:val="single" w:sz="8" w:color="auto"/>
            </w:tcBorders>
            <w:gridSpan w:val="2"/>
          </w:tcPr>
          <w:p>
            <w:pPr>
              <w:jc w:val="center"/>
              <w:ind w:right="464"/>
              <w:spacing w:after="0"/>
              <w:rPr>
                <w:sz w:val="20"/>
                <w:szCs w:val="20"/>
                <w:color w:val="auto"/>
              </w:rPr>
            </w:pPr>
            <w:r>
              <w:rPr>
                <w:rFonts w:ascii="Arial" w:cs="Arial" w:eastAsia="Arial" w:hAnsi="Arial"/>
                <w:sz w:val="15"/>
                <w:szCs w:val="15"/>
                <w:b w:val="1"/>
                <w:bCs w:val="1"/>
                <w:color w:val="auto"/>
              </w:rPr>
              <w:t>Name of each exchange on which registered</w:t>
            </w:r>
          </w:p>
        </w:tc>
        <w:tc>
          <w:tcPr>
            <w:tcW w:w="0" w:type="dxa"/>
            <w:vAlign w:val="bottom"/>
          </w:tcPr>
          <w:p>
            <w:pPr>
              <w:spacing w:after="0"/>
              <w:rPr>
                <w:sz w:val="1"/>
                <w:szCs w:val="1"/>
                <w:color w:val="auto"/>
              </w:rPr>
            </w:pPr>
          </w:p>
        </w:tc>
      </w:tr>
      <w:tr>
        <w:trPr>
          <w:trHeight w:val="220"/>
        </w:trPr>
        <w:tc>
          <w:tcPr>
            <w:tcW w:w="3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Common Stock</w:t>
            </w:r>
          </w:p>
        </w:tc>
        <w:tc>
          <w:tcPr>
            <w:tcW w:w="1060" w:type="dxa"/>
            <w:vAlign w:val="bottom"/>
            <w:tcBorders>
              <w:bottom w:val="single" w:sz="8" w:color="auto"/>
            </w:tcBorders>
            <w:gridSpan w:val="2"/>
          </w:tcPr>
          <w:p>
            <w:pPr>
              <w:spacing w:after="0"/>
              <w:rPr>
                <w:sz w:val="19"/>
                <w:szCs w:val="19"/>
                <w:color w:val="auto"/>
              </w:rPr>
            </w:pPr>
          </w:p>
        </w:tc>
        <w:tc>
          <w:tcPr>
            <w:tcW w:w="2560" w:type="dxa"/>
            <w:vAlign w:val="bottom"/>
            <w:tcBorders>
              <w:bottom w:val="single" w:sz="8" w:color="auto"/>
              <w:right w:val="single" w:sz="8" w:color="auto"/>
            </w:tcBorders>
          </w:tcPr>
          <w:p>
            <w:pPr>
              <w:jc w:val="center"/>
              <w:ind w:right="1001"/>
              <w:spacing w:after="0"/>
              <w:rPr>
                <w:sz w:val="20"/>
                <w:szCs w:val="20"/>
                <w:color w:val="auto"/>
              </w:rPr>
            </w:pPr>
            <w:r>
              <w:rPr>
                <w:rFonts w:ascii="Arial" w:cs="Arial" w:eastAsia="Arial" w:hAnsi="Arial"/>
                <w:sz w:val="15"/>
                <w:szCs w:val="15"/>
                <w:color w:val="auto"/>
              </w:rPr>
              <w:t>TGNA</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jc w:val="center"/>
              <w:ind w:right="584"/>
              <w:spacing w:after="0"/>
              <w:rPr>
                <w:sz w:val="20"/>
                <w:szCs w:val="20"/>
                <w:color w:val="auto"/>
              </w:rPr>
            </w:pPr>
            <w:r>
              <w:rPr>
                <w:rFonts w:ascii="Arial" w:cs="Arial" w:eastAsia="Arial" w:hAnsi="Arial"/>
                <w:sz w:val="15"/>
                <w:szCs w:val="15"/>
                <w:color w:val="auto"/>
              </w:rPr>
              <w:t>New York Stock Exchange</w:t>
            </w:r>
          </w:p>
        </w:tc>
        <w:tc>
          <w:tcPr>
            <w:tcW w:w="0" w:type="dxa"/>
            <w:vAlign w:val="bottom"/>
          </w:tcPr>
          <w:p>
            <w:pPr>
              <w:spacing w:after="0"/>
              <w:rPr>
                <w:sz w:val="1"/>
                <w:szCs w:val="1"/>
                <w:color w:val="auto"/>
              </w:rPr>
            </w:pPr>
          </w:p>
        </w:tc>
      </w:tr>
    </w:tbl>
    <w:p>
      <w:pPr>
        <w:spacing w:after="0" w:line="153" w:lineRule="exact"/>
        <w:rPr>
          <w:sz w:val="24"/>
          <w:szCs w:val="24"/>
          <w:color w:val="auto"/>
        </w:rPr>
      </w:pPr>
    </w:p>
    <w:p>
      <w:pPr>
        <w:ind w:right="100"/>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240"/>
        <w:spacing w:after="0" w:line="28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20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28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4920" w:type="dxa"/>
            <w:vAlign w:val="bottom"/>
          </w:tcPr>
          <w:p>
            <w:pPr>
              <w:ind w:left="2520"/>
              <w:spacing w:after="0"/>
              <w:rPr>
                <w:sz w:val="20"/>
                <w:szCs w:val="20"/>
                <w:color w:val="auto"/>
              </w:rPr>
            </w:pPr>
            <w:r>
              <w:rPr>
                <w:rFonts w:ascii="Arial" w:cs="Arial" w:eastAsia="Arial" w:hAnsi="Arial"/>
                <w:sz w:val="14"/>
                <w:szCs w:val="14"/>
                <w:color w:val="auto"/>
              </w:rPr>
              <w:t>Accelerated filer</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2040" w:type="dxa"/>
            <w:vAlign w:val="bottom"/>
          </w:tcPr>
          <w:p>
            <w:pPr>
              <w:spacing w:after="0"/>
              <w:rPr>
                <w:sz w:val="20"/>
                <w:szCs w:val="20"/>
                <w:color w:val="auto"/>
              </w:rPr>
            </w:pPr>
            <w:r>
              <w:rPr>
                <w:rFonts w:ascii="Arial" w:cs="Arial" w:eastAsia="Arial" w:hAnsi="Arial"/>
                <w:sz w:val="14"/>
                <w:szCs w:val="14"/>
                <w:color w:val="auto"/>
              </w:rPr>
              <w:t>Non-accelerated filer</w:t>
            </w:r>
          </w:p>
        </w:tc>
        <w:tc>
          <w:tcPr>
            <w:tcW w:w="328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4920" w:type="dxa"/>
            <w:vAlign w:val="bottom"/>
          </w:tcPr>
          <w:p>
            <w:pPr>
              <w:ind w:left="2520"/>
              <w:spacing w:after="0"/>
              <w:rPr>
                <w:sz w:val="20"/>
                <w:szCs w:val="20"/>
                <w:color w:val="auto"/>
              </w:rPr>
            </w:pPr>
            <w:r>
              <w:rPr>
                <w:rFonts w:ascii="Arial" w:cs="Arial" w:eastAsia="Arial" w:hAnsi="Arial"/>
                <w:sz w:val="14"/>
                <w:szCs w:val="14"/>
                <w:color w:val="auto"/>
              </w:rPr>
              <w:t>Smaller reporting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20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920" w:type="dxa"/>
            <w:vAlign w:val="bottom"/>
          </w:tcPr>
          <w:p>
            <w:pPr>
              <w:ind w:left="2520"/>
              <w:spacing w:after="0"/>
              <w:rPr>
                <w:sz w:val="20"/>
                <w:szCs w:val="20"/>
                <w:color w:val="auto"/>
              </w:rPr>
            </w:pPr>
            <w:r>
              <w:rPr>
                <w:rFonts w:ascii="Arial" w:cs="Arial" w:eastAsia="Arial" w:hAnsi="Arial"/>
                <w:sz w:val="14"/>
                <w:szCs w:val="14"/>
                <w:color w:val="auto"/>
              </w:rPr>
              <w:t>Emerging growth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87" w:lineRule="exact"/>
        <w:rPr>
          <w:sz w:val="24"/>
          <w:szCs w:val="24"/>
          <w:color w:val="auto"/>
        </w:rPr>
      </w:pPr>
    </w:p>
    <w:p>
      <w:pPr>
        <w:ind w:right="30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right="2980"/>
        <w:spacing w:after="0" w:line="25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 total number of shares of the registrant’s Common Stock, $1 par value, outstanding as of October 31, 2025 was 161,056,789.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738505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INDEX TO TEGNA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September 30, 2025 FORM 10-Q</w:t>
      </w:r>
    </w:p>
    <w:p>
      <w:pPr>
        <w:spacing w:after="0" w:line="178" w:lineRule="exact"/>
        <w:rPr>
          <w:sz w:val="20"/>
          <w:szCs w:val="20"/>
          <w:color w:val="auto"/>
        </w:rPr>
      </w:pPr>
    </w:p>
    <w:p>
      <w:pPr>
        <w:spacing w:after="0"/>
        <w:tabs>
          <w:tab w:leader="none" w:pos="10840" w:val="left"/>
        </w:tabs>
        <w:rPr>
          <w:sz w:val="20"/>
          <w:szCs w:val="20"/>
          <w:color w:val="auto"/>
        </w:rPr>
      </w:pPr>
      <w:r>
        <w:rPr>
          <w:rFonts w:ascii="Arial" w:cs="Arial" w:eastAsia="Arial" w:hAnsi="Arial"/>
          <w:sz w:val="16"/>
          <w:szCs w:val="16"/>
          <w:b w:val="1"/>
          <w:bCs w:val="1"/>
          <w:u w:val="single" w:color="auto"/>
          <w:color w:val="auto"/>
        </w:rPr>
        <w:t>Item No.</w:t>
      </w:r>
      <w:r>
        <w:rPr>
          <w:sz w:val="20"/>
          <w:szCs w:val="20"/>
          <w:color w:val="auto"/>
        </w:rPr>
        <w:tab/>
      </w:r>
      <w:r>
        <w:rPr>
          <w:rFonts w:ascii="Arial" w:cs="Arial" w:eastAsia="Arial" w:hAnsi="Arial"/>
          <w:sz w:val="15"/>
          <w:szCs w:val="15"/>
          <w:b w:val="1"/>
          <w:bCs w:val="1"/>
          <w:u w:val="single" w:color="auto"/>
          <w:color w:val="auto"/>
        </w:rPr>
        <w:t>Page</w:t>
      </w:r>
    </w:p>
    <w:p>
      <w:pPr>
        <w:spacing w:after="0" w:line="21"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u w:val="single" w:color="auto"/>
          <w:color w:val="0000FF"/>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2809875</wp:posOffset>
            </wp:positionH>
            <wp:positionV relativeFrom="paragraph">
              <wp:posOffset>-14605</wp:posOffset>
            </wp:positionV>
            <wp:extent cx="17030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03070" cy="8255"/>
                    </a:xfrm>
                    <a:prstGeom prst="rect">
                      <a:avLst/>
                    </a:prstGeom>
                    <a:noFill/>
                  </pic:spPr>
                </pic:pic>
              </a:graphicData>
            </a:graphic>
          </wp:anchor>
        </w:drawing>
      </w:r>
    </w:p>
    <w:p>
      <w:pPr>
        <w:spacing w:after="0" w:line="158" w:lineRule="exact"/>
        <w:rPr>
          <w:sz w:val="20"/>
          <w:szCs w:val="20"/>
          <w:color w:val="auto"/>
        </w:rPr>
      </w:pPr>
    </w:p>
    <w:p>
      <w:pPr>
        <w:ind w:left="920" w:hanging="912"/>
        <w:spacing w:after="0"/>
        <w:tabs>
          <w:tab w:leader="none" w:pos="92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0000FF"/>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-4445</wp:posOffset>
            </wp:positionV>
            <wp:extent cx="960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0" w:type="dxa"/>
            <w:vAlign w:val="bottom"/>
          </w:tcPr>
          <w:p>
            <w:pPr>
              <w:spacing w:after="0"/>
              <w:rPr>
                <w:sz w:val="16"/>
                <w:szCs w:val="16"/>
                <w:color w:val="auto"/>
              </w:rPr>
            </w:pPr>
          </w:p>
        </w:tc>
        <w:tc>
          <w:tcPr>
            <w:tcW w:w="9520" w:type="dxa"/>
            <w:vAlign w:val="bottom"/>
            <w:gridSpan w:val="20"/>
          </w:tcPr>
          <w:p>
            <w:pPr>
              <w:spacing w:after="0"/>
              <w:rPr>
                <w:sz w:val="20"/>
                <w:szCs w:val="20"/>
                <w:color w:val="auto"/>
              </w:rPr>
            </w:pPr>
            <w:r>
              <w:rPr>
                <w:rFonts w:ascii="Arial" w:cs="Arial" w:eastAsia="Arial" w:hAnsi="Arial"/>
                <w:sz w:val="16"/>
                <w:szCs w:val="16"/>
                <w:color w:val="0000FF"/>
              </w:rPr>
              <w:t>Condensed Consolidated Balance Sheets as of September 30, 2025 and December 31, 2024</w:t>
            </w: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58"/>
        </w:trPr>
        <w:tc>
          <w:tcPr>
            <w:tcW w:w="940" w:type="dxa"/>
            <w:vAlign w:val="bottom"/>
          </w:tcPr>
          <w:p>
            <w:pPr>
              <w:spacing w:after="0"/>
              <w:rPr>
                <w:sz w:val="24"/>
                <w:szCs w:val="24"/>
                <w:color w:val="auto"/>
              </w:rPr>
            </w:pPr>
          </w:p>
        </w:tc>
        <w:tc>
          <w:tcPr>
            <w:tcW w:w="9520" w:type="dxa"/>
            <w:vAlign w:val="bottom"/>
            <w:gridSpan w:val="20"/>
          </w:tcPr>
          <w:p>
            <w:pPr>
              <w:spacing w:after="0"/>
              <w:rPr>
                <w:sz w:val="20"/>
                <w:szCs w:val="20"/>
                <w:color w:val="auto"/>
              </w:rPr>
            </w:pPr>
            <w:r>
              <w:rPr>
                <w:rFonts w:ascii="Arial" w:cs="Arial" w:eastAsia="Arial" w:hAnsi="Arial"/>
                <w:sz w:val="16"/>
                <w:szCs w:val="16"/>
                <w:color w:val="0000FF"/>
              </w:rPr>
              <w:t>Consolidated Statements of Income for the Quarters and Nine Months Ended September 30, 2025 and 2024</w:t>
            </w: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0"/>
        </w:trPr>
        <w:tc>
          <w:tcPr>
            <w:tcW w:w="94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58"/>
        </w:trPr>
        <w:tc>
          <w:tcPr>
            <w:tcW w:w="940" w:type="dxa"/>
            <w:vAlign w:val="bottom"/>
          </w:tcPr>
          <w:p>
            <w:pPr>
              <w:spacing w:after="0"/>
              <w:rPr>
                <w:sz w:val="24"/>
                <w:szCs w:val="24"/>
                <w:color w:val="auto"/>
              </w:rPr>
            </w:pPr>
          </w:p>
        </w:tc>
        <w:tc>
          <w:tcPr>
            <w:tcW w:w="9520" w:type="dxa"/>
            <w:vAlign w:val="bottom"/>
            <w:gridSpan w:val="20"/>
          </w:tcPr>
          <w:p>
            <w:pPr>
              <w:spacing w:after="0"/>
              <w:rPr>
                <w:sz w:val="20"/>
                <w:szCs w:val="20"/>
                <w:color w:val="auto"/>
              </w:rPr>
            </w:pPr>
            <w:r>
              <w:rPr>
                <w:rFonts w:ascii="Arial" w:cs="Arial" w:eastAsia="Arial" w:hAnsi="Arial"/>
                <w:sz w:val="16"/>
                <w:szCs w:val="16"/>
                <w:color w:val="0000FF"/>
              </w:rPr>
              <w:t>Consolidated Statements of Comprehensive Income for the Quarters and Nine Months Ended September 30, 2025 and 2024</w:t>
            </w: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0"/>
        </w:trPr>
        <w:tc>
          <w:tcPr>
            <w:tcW w:w="94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58"/>
        </w:trPr>
        <w:tc>
          <w:tcPr>
            <w:tcW w:w="940" w:type="dxa"/>
            <w:vAlign w:val="bottom"/>
          </w:tcPr>
          <w:p>
            <w:pPr>
              <w:spacing w:after="0"/>
              <w:rPr>
                <w:sz w:val="24"/>
                <w:szCs w:val="24"/>
                <w:color w:val="auto"/>
              </w:rPr>
            </w:pPr>
          </w:p>
        </w:tc>
        <w:tc>
          <w:tcPr>
            <w:tcW w:w="9520" w:type="dxa"/>
            <w:vAlign w:val="bottom"/>
            <w:gridSpan w:val="20"/>
          </w:tcPr>
          <w:p>
            <w:pPr>
              <w:spacing w:after="0"/>
              <w:rPr>
                <w:sz w:val="20"/>
                <w:szCs w:val="20"/>
                <w:color w:val="auto"/>
              </w:rPr>
            </w:pPr>
            <w:r>
              <w:rPr>
                <w:rFonts w:ascii="Arial" w:cs="Arial" w:eastAsia="Arial" w:hAnsi="Arial"/>
                <w:sz w:val="16"/>
                <w:szCs w:val="16"/>
                <w:color w:val="0000FF"/>
              </w:rPr>
              <w:t>Condensed Consolidated Statements of Cash Flows for the Nine Months Ended September 30, 2025 and 2024</w:t>
            </w: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58"/>
        </w:trPr>
        <w:tc>
          <w:tcPr>
            <w:tcW w:w="940" w:type="dxa"/>
            <w:vAlign w:val="bottom"/>
          </w:tcPr>
          <w:p>
            <w:pPr>
              <w:spacing w:after="0"/>
              <w:rPr>
                <w:sz w:val="24"/>
                <w:szCs w:val="24"/>
                <w:color w:val="auto"/>
              </w:rPr>
            </w:pPr>
          </w:p>
        </w:tc>
        <w:tc>
          <w:tcPr>
            <w:tcW w:w="9520" w:type="dxa"/>
            <w:vAlign w:val="bottom"/>
            <w:gridSpan w:val="20"/>
          </w:tcPr>
          <w:p>
            <w:pPr>
              <w:spacing w:after="0"/>
              <w:rPr>
                <w:sz w:val="20"/>
                <w:szCs w:val="20"/>
                <w:color w:val="auto"/>
              </w:rPr>
            </w:pPr>
            <w:r>
              <w:rPr>
                <w:rFonts w:ascii="Arial" w:cs="Arial" w:eastAsia="Arial" w:hAnsi="Arial"/>
                <w:sz w:val="16"/>
                <w:szCs w:val="16"/>
                <w:color w:val="0000FF"/>
              </w:rPr>
              <w:t>Consolidated Statements of Equity and Redeemable Noncontrolling Interest for the Quarters and Nine Months Ended September 30,</w:t>
            </w: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169"/>
        </w:trPr>
        <w:tc>
          <w:tcPr>
            <w:tcW w:w="940" w:type="dxa"/>
            <w:vAlign w:val="bottom"/>
          </w:tcPr>
          <w:p>
            <w:pPr>
              <w:spacing w:after="0"/>
              <w:rPr>
                <w:sz w:val="14"/>
                <w:szCs w:val="14"/>
                <w:color w:val="auto"/>
              </w:rPr>
            </w:pPr>
          </w:p>
        </w:tc>
        <w:tc>
          <w:tcPr>
            <w:tcW w:w="1060" w:type="dxa"/>
            <w:vAlign w:val="bottom"/>
            <w:tcBorders>
              <w:top w:val="single" w:sz="8" w:color="0000FF"/>
              <w:bottom w:val="single" w:sz="8" w:color="0000FF"/>
            </w:tcBorders>
            <w:gridSpan w:val="3"/>
          </w:tcPr>
          <w:p>
            <w:pPr>
              <w:spacing w:after="0" w:line="169" w:lineRule="exact"/>
              <w:rPr>
                <w:sz w:val="20"/>
                <w:szCs w:val="20"/>
                <w:color w:val="auto"/>
              </w:rPr>
            </w:pPr>
            <w:r>
              <w:rPr>
                <w:rFonts w:ascii="Arial" w:cs="Arial" w:eastAsia="Arial" w:hAnsi="Arial"/>
                <w:sz w:val="16"/>
                <w:szCs w:val="16"/>
                <w:color w:val="0000FF"/>
                <w:w w:val="97"/>
              </w:rPr>
              <w:t>2025 and 2024</w:t>
            </w:r>
          </w:p>
        </w:tc>
        <w:tc>
          <w:tcPr>
            <w:tcW w:w="8460" w:type="dxa"/>
            <w:vAlign w:val="bottom"/>
            <w:tcBorders>
              <w:top w:val="single" w:sz="8" w:color="0000FF"/>
            </w:tcBorders>
            <w:gridSpan w:val="17"/>
          </w:tcPr>
          <w:p>
            <w:pPr>
              <w:spacing w:after="0"/>
              <w:rPr>
                <w:sz w:val="14"/>
                <w:szCs w:val="14"/>
                <w:color w:val="auto"/>
              </w:rPr>
            </w:pPr>
          </w:p>
        </w:tc>
        <w:tc>
          <w:tcPr>
            <w:tcW w:w="780" w:type="dxa"/>
            <w:vAlign w:val="bottom"/>
          </w:tcPr>
          <w:p>
            <w:pPr>
              <w:spacing w:after="0"/>
              <w:rPr>
                <w:sz w:val="14"/>
                <w:szCs w:val="14"/>
                <w:color w:val="auto"/>
              </w:rPr>
            </w:pPr>
          </w:p>
        </w:tc>
      </w:tr>
      <w:tr>
        <w:trPr>
          <w:trHeight w:val="358"/>
        </w:trPr>
        <w:tc>
          <w:tcPr>
            <w:tcW w:w="940" w:type="dxa"/>
            <w:vAlign w:val="bottom"/>
          </w:tcPr>
          <w:p>
            <w:pPr>
              <w:spacing w:after="0"/>
              <w:rPr>
                <w:sz w:val="24"/>
                <w:szCs w:val="24"/>
                <w:color w:val="auto"/>
              </w:rPr>
            </w:pPr>
          </w:p>
        </w:tc>
        <w:tc>
          <w:tcPr>
            <w:tcW w:w="9520" w:type="dxa"/>
            <w:vAlign w:val="bottom"/>
            <w:gridSpan w:val="20"/>
          </w:tcPr>
          <w:p>
            <w:pPr>
              <w:spacing w:after="0"/>
              <w:rPr>
                <w:sz w:val="20"/>
                <w:szCs w:val="20"/>
                <w:color w:val="auto"/>
              </w:rPr>
            </w:pPr>
            <w:r>
              <w:rPr>
                <w:rFonts w:ascii="Arial" w:cs="Arial" w:eastAsia="Arial" w:hAnsi="Arial"/>
                <w:sz w:val="16"/>
                <w:szCs w:val="16"/>
                <w:color w:val="0000FF"/>
              </w:rPr>
              <w:t>Notes to Condensed Consolidated Financial Statements</w:t>
            </w: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58"/>
        </w:trPr>
        <w:tc>
          <w:tcPr>
            <w:tcW w:w="940" w:type="dxa"/>
            <w:vAlign w:val="bottom"/>
          </w:tcPr>
          <w:p>
            <w:pPr>
              <w:spacing w:after="0"/>
              <w:rPr>
                <w:sz w:val="20"/>
                <w:szCs w:val="20"/>
                <w:color w:val="auto"/>
              </w:rPr>
            </w:pPr>
            <w:r>
              <w:rPr>
                <w:rFonts w:ascii="Arial" w:cs="Arial" w:eastAsia="Arial" w:hAnsi="Arial"/>
                <w:sz w:val="16"/>
                <w:szCs w:val="16"/>
                <w:color w:val="auto"/>
              </w:rPr>
              <w:t>2.</w:t>
            </w:r>
          </w:p>
        </w:tc>
        <w:tc>
          <w:tcPr>
            <w:tcW w:w="9520" w:type="dxa"/>
            <w:vAlign w:val="bottom"/>
            <w:gridSpan w:val="20"/>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58"/>
        </w:trPr>
        <w:tc>
          <w:tcPr>
            <w:tcW w:w="940" w:type="dxa"/>
            <w:vAlign w:val="bottom"/>
          </w:tcPr>
          <w:p>
            <w:pPr>
              <w:spacing w:after="0"/>
              <w:rPr>
                <w:sz w:val="20"/>
                <w:szCs w:val="20"/>
                <w:color w:val="auto"/>
              </w:rPr>
            </w:pPr>
            <w:r>
              <w:rPr>
                <w:rFonts w:ascii="Arial" w:cs="Arial" w:eastAsia="Arial" w:hAnsi="Arial"/>
                <w:sz w:val="16"/>
                <w:szCs w:val="16"/>
                <w:color w:val="auto"/>
              </w:rPr>
              <w:t>3.</w:t>
            </w:r>
          </w:p>
        </w:tc>
        <w:tc>
          <w:tcPr>
            <w:tcW w:w="9520" w:type="dxa"/>
            <w:vAlign w:val="bottom"/>
            <w:gridSpan w:val="20"/>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78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58"/>
        </w:trPr>
        <w:tc>
          <w:tcPr>
            <w:tcW w:w="940" w:type="dxa"/>
            <w:vAlign w:val="bottom"/>
          </w:tcPr>
          <w:p>
            <w:pPr>
              <w:spacing w:after="0"/>
              <w:rPr>
                <w:sz w:val="20"/>
                <w:szCs w:val="20"/>
                <w:color w:val="auto"/>
              </w:rPr>
            </w:pPr>
            <w:r>
              <w:rPr>
                <w:rFonts w:ascii="Arial" w:cs="Arial" w:eastAsia="Arial" w:hAnsi="Arial"/>
                <w:sz w:val="16"/>
                <w:szCs w:val="16"/>
                <w:color w:val="auto"/>
              </w:rPr>
              <w:t>4.</w:t>
            </w:r>
          </w:p>
        </w:tc>
        <w:tc>
          <w:tcPr>
            <w:tcW w:w="9520" w:type="dxa"/>
            <w:vAlign w:val="bottom"/>
            <w:gridSpan w:val="20"/>
          </w:tcPr>
          <w:p>
            <w:pPr>
              <w:spacing w:after="0"/>
              <w:rPr>
                <w:sz w:val="20"/>
                <w:szCs w:val="20"/>
                <w:color w:val="auto"/>
              </w:rPr>
            </w:pPr>
            <w:r>
              <w:rPr>
                <w:rFonts w:ascii="Arial" w:cs="Arial" w:eastAsia="Arial" w:hAnsi="Arial"/>
                <w:sz w:val="16"/>
                <w:szCs w:val="16"/>
                <w:color w:val="0000FF"/>
              </w:rPr>
              <w:t>Controls and Procedures</w:t>
            </w:r>
          </w:p>
        </w:tc>
        <w:tc>
          <w:tcPr>
            <w:tcW w:w="78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58"/>
        </w:trPr>
        <w:tc>
          <w:tcPr>
            <w:tcW w:w="94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20" w:type="dxa"/>
            <w:vAlign w:val="bottom"/>
            <w:tcBorders>
              <w:bottom w:val="single" w:sz="8" w:color="0000FF"/>
            </w:tcBorders>
            <w:gridSpan w:val="5"/>
          </w:tcPr>
          <w:p>
            <w:pPr>
              <w:jc w:val="center"/>
              <w:spacing w:after="0"/>
              <w:rPr>
                <w:sz w:val="20"/>
                <w:szCs w:val="20"/>
                <w:color w:val="auto"/>
              </w:rPr>
            </w:pPr>
            <w:r>
              <w:rPr>
                <w:rFonts w:ascii="Arial" w:cs="Arial" w:eastAsia="Arial" w:hAnsi="Arial"/>
                <w:sz w:val="16"/>
                <w:szCs w:val="16"/>
                <w:b w:val="1"/>
                <w:bCs w:val="1"/>
                <w:color w:val="0000FF"/>
              </w:rPr>
              <w:t>PART II. OTHER INFORMATION</w:t>
            </w:r>
          </w:p>
        </w:tc>
        <w:tc>
          <w:tcPr>
            <w:tcW w:w="3480" w:type="dxa"/>
            <w:vAlign w:val="bottom"/>
            <w:gridSpan w:val="6"/>
          </w:tcPr>
          <w:p>
            <w:pPr>
              <w:spacing w:after="0"/>
              <w:rPr>
                <w:sz w:val="24"/>
                <w:szCs w:val="24"/>
                <w:color w:val="auto"/>
              </w:rPr>
            </w:pPr>
          </w:p>
        </w:tc>
        <w:tc>
          <w:tcPr>
            <w:tcW w:w="780" w:type="dxa"/>
            <w:vAlign w:val="bottom"/>
          </w:tcPr>
          <w:p>
            <w:pPr>
              <w:spacing w:after="0"/>
              <w:rPr>
                <w:sz w:val="24"/>
                <w:szCs w:val="24"/>
                <w:color w:val="auto"/>
              </w:rPr>
            </w:pPr>
          </w:p>
        </w:tc>
      </w:tr>
      <w:tr>
        <w:trPr>
          <w:trHeight w:val="358"/>
        </w:trPr>
        <w:tc>
          <w:tcPr>
            <w:tcW w:w="940" w:type="dxa"/>
            <w:vAlign w:val="bottom"/>
          </w:tcPr>
          <w:p>
            <w:pPr>
              <w:spacing w:after="0"/>
              <w:rPr>
                <w:sz w:val="20"/>
                <w:szCs w:val="20"/>
                <w:color w:val="auto"/>
              </w:rPr>
            </w:pPr>
            <w:r>
              <w:rPr>
                <w:rFonts w:ascii="Arial" w:cs="Arial" w:eastAsia="Arial" w:hAnsi="Arial"/>
                <w:sz w:val="16"/>
                <w:szCs w:val="16"/>
                <w:color w:val="auto"/>
              </w:rPr>
              <w:t>1.</w:t>
            </w:r>
          </w:p>
        </w:tc>
        <w:tc>
          <w:tcPr>
            <w:tcW w:w="9520" w:type="dxa"/>
            <w:vAlign w:val="bottom"/>
            <w:gridSpan w:val="20"/>
          </w:tcPr>
          <w:p>
            <w:pPr>
              <w:spacing w:after="0"/>
              <w:rPr>
                <w:sz w:val="20"/>
                <w:szCs w:val="20"/>
                <w:color w:val="auto"/>
              </w:rPr>
            </w:pPr>
            <w:r>
              <w:rPr>
                <w:rFonts w:ascii="Arial" w:cs="Arial" w:eastAsia="Arial" w:hAnsi="Arial"/>
                <w:sz w:val="16"/>
                <w:szCs w:val="16"/>
                <w:color w:val="0000FF"/>
              </w:rPr>
              <w:t>Legal Proceedings</w:t>
            </w:r>
          </w:p>
        </w:tc>
        <w:tc>
          <w:tcPr>
            <w:tcW w:w="78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58"/>
        </w:trPr>
        <w:tc>
          <w:tcPr>
            <w:tcW w:w="940" w:type="dxa"/>
            <w:vAlign w:val="bottom"/>
          </w:tcPr>
          <w:p>
            <w:pPr>
              <w:spacing w:after="0"/>
              <w:rPr>
                <w:sz w:val="20"/>
                <w:szCs w:val="20"/>
                <w:color w:val="auto"/>
              </w:rPr>
            </w:pPr>
            <w:r>
              <w:rPr>
                <w:rFonts w:ascii="Arial" w:cs="Arial" w:eastAsia="Arial" w:hAnsi="Arial"/>
                <w:sz w:val="16"/>
                <w:szCs w:val="16"/>
                <w:color w:val="auto"/>
              </w:rPr>
              <w:t>1A.</w:t>
            </w:r>
          </w:p>
        </w:tc>
        <w:tc>
          <w:tcPr>
            <w:tcW w:w="9520" w:type="dxa"/>
            <w:vAlign w:val="bottom"/>
            <w:gridSpan w:val="20"/>
          </w:tcPr>
          <w:p>
            <w:pPr>
              <w:spacing w:after="0"/>
              <w:rPr>
                <w:sz w:val="20"/>
                <w:szCs w:val="20"/>
                <w:color w:val="auto"/>
              </w:rPr>
            </w:pPr>
            <w:r>
              <w:rPr>
                <w:rFonts w:ascii="Arial" w:cs="Arial" w:eastAsia="Arial" w:hAnsi="Arial"/>
                <w:sz w:val="16"/>
                <w:szCs w:val="16"/>
                <w:color w:val="0000FF"/>
              </w:rPr>
              <w:t>Risk Factors</w:t>
            </w:r>
          </w:p>
        </w:tc>
        <w:tc>
          <w:tcPr>
            <w:tcW w:w="7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58"/>
        </w:trPr>
        <w:tc>
          <w:tcPr>
            <w:tcW w:w="940" w:type="dxa"/>
            <w:vAlign w:val="bottom"/>
          </w:tcPr>
          <w:p>
            <w:pPr>
              <w:spacing w:after="0"/>
              <w:rPr>
                <w:sz w:val="20"/>
                <w:szCs w:val="20"/>
                <w:color w:val="auto"/>
              </w:rPr>
            </w:pPr>
            <w:r>
              <w:rPr>
                <w:rFonts w:ascii="Arial" w:cs="Arial" w:eastAsia="Arial" w:hAnsi="Arial"/>
                <w:sz w:val="16"/>
                <w:szCs w:val="16"/>
                <w:color w:val="auto"/>
              </w:rPr>
              <w:t>2.</w:t>
            </w:r>
          </w:p>
        </w:tc>
        <w:tc>
          <w:tcPr>
            <w:tcW w:w="9520" w:type="dxa"/>
            <w:vAlign w:val="bottom"/>
            <w:gridSpan w:val="20"/>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7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80" w:type="dxa"/>
            <w:vAlign w:val="bottom"/>
            <w:gridSpan w:val="4"/>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58"/>
        </w:trPr>
        <w:tc>
          <w:tcPr>
            <w:tcW w:w="940" w:type="dxa"/>
            <w:vAlign w:val="bottom"/>
          </w:tcPr>
          <w:p>
            <w:pPr>
              <w:spacing w:after="0"/>
              <w:rPr>
                <w:sz w:val="20"/>
                <w:szCs w:val="20"/>
                <w:color w:val="auto"/>
              </w:rPr>
            </w:pPr>
            <w:r>
              <w:rPr>
                <w:rFonts w:ascii="Arial" w:cs="Arial" w:eastAsia="Arial" w:hAnsi="Arial"/>
                <w:sz w:val="16"/>
                <w:szCs w:val="16"/>
                <w:color w:val="auto"/>
              </w:rPr>
              <w:t>3.</w:t>
            </w:r>
          </w:p>
        </w:tc>
        <w:tc>
          <w:tcPr>
            <w:tcW w:w="9520" w:type="dxa"/>
            <w:vAlign w:val="bottom"/>
            <w:gridSpan w:val="20"/>
          </w:tcPr>
          <w:p>
            <w:pPr>
              <w:spacing w:after="0"/>
              <w:rPr>
                <w:sz w:val="20"/>
                <w:szCs w:val="20"/>
                <w:color w:val="auto"/>
              </w:rPr>
            </w:pPr>
            <w:r>
              <w:rPr>
                <w:rFonts w:ascii="Arial" w:cs="Arial" w:eastAsia="Arial" w:hAnsi="Arial"/>
                <w:sz w:val="16"/>
                <w:szCs w:val="16"/>
                <w:color w:val="0000FF"/>
              </w:rPr>
              <w:t>Defaults Upon Senior Securities</w:t>
            </w:r>
          </w:p>
        </w:tc>
        <w:tc>
          <w:tcPr>
            <w:tcW w:w="7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58"/>
        </w:trPr>
        <w:tc>
          <w:tcPr>
            <w:tcW w:w="940" w:type="dxa"/>
            <w:vAlign w:val="bottom"/>
          </w:tcPr>
          <w:p>
            <w:pPr>
              <w:spacing w:after="0"/>
              <w:rPr>
                <w:sz w:val="20"/>
                <w:szCs w:val="20"/>
                <w:color w:val="auto"/>
              </w:rPr>
            </w:pPr>
            <w:r>
              <w:rPr>
                <w:rFonts w:ascii="Arial" w:cs="Arial" w:eastAsia="Arial" w:hAnsi="Arial"/>
                <w:sz w:val="16"/>
                <w:szCs w:val="16"/>
                <w:color w:val="auto"/>
              </w:rPr>
              <w:t>4.</w:t>
            </w:r>
          </w:p>
        </w:tc>
        <w:tc>
          <w:tcPr>
            <w:tcW w:w="9520" w:type="dxa"/>
            <w:vAlign w:val="bottom"/>
            <w:gridSpan w:val="20"/>
          </w:tcPr>
          <w:p>
            <w:pPr>
              <w:spacing w:after="0"/>
              <w:rPr>
                <w:sz w:val="20"/>
                <w:szCs w:val="20"/>
                <w:color w:val="auto"/>
              </w:rPr>
            </w:pPr>
            <w:r>
              <w:rPr>
                <w:rFonts w:ascii="Arial" w:cs="Arial" w:eastAsia="Arial" w:hAnsi="Arial"/>
                <w:sz w:val="16"/>
                <w:szCs w:val="16"/>
                <w:color w:val="0000FF"/>
              </w:rPr>
              <w:t>Mine Safety Disclosures</w:t>
            </w:r>
          </w:p>
        </w:tc>
        <w:tc>
          <w:tcPr>
            <w:tcW w:w="7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4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58"/>
        </w:trPr>
        <w:tc>
          <w:tcPr>
            <w:tcW w:w="940" w:type="dxa"/>
            <w:vAlign w:val="bottom"/>
          </w:tcPr>
          <w:p>
            <w:pPr>
              <w:spacing w:after="0"/>
              <w:rPr>
                <w:sz w:val="20"/>
                <w:szCs w:val="20"/>
                <w:color w:val="auto"/>
              </w:rPr>
            </w:pPr>
            <w:r>
              <w:rPr>
                <w:rFonts w:ascii="Arial" w:cs="Arial" w:eastAsia="Arial" w:hAnsi="Arial"/>
                <w:sz w:val="16"/>
                <w:szCs w:val="16"/>
                <w:color w:val="auto"/>
              </w:rPr>
              <w:t>5.</w:t>
            </w:r>
          </w:p>
        </w:tc>
        <w:tc>
          <w:tcPr>
            <w:tcW w:w="9520" w:type="dxa"/>
            <w:vAlign w:val="bottom"/>
            <w:gridSpan w:val="20"/>
          </w:tcPr>
          <w:p>
            <w:pPr>
              <w:spacing w:after="0"/>
              <w:rPr>
                <w:sz w:val="20"/>
                <w:szCs w:val="20"/>
                <w:color w:val="auto"/>
              </w:rPr>
            </w:pPr>
            <w:r>
              <w:rPr>
                <w:rFonts w:ascii="Arial" w:cs="Arial" w:eastAsia="Arial" w:hAnsi="Arial"/>
                <w:sz w:val="16"/>
                <w:szCs w:val="16"/>
                <w:color w:val="0000FF"/>
              </w:rPr>
              <w:t>Other Information</w:t>
            </w:r>
          </w:p>
        </w:tc>
        <w:tc>
          <w:tcPr>
            <w:tcW w:w="7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100" w:type="dxa"/>
            <w:vAlign w:val="bottom"/>
            <w:gridSpan w:val="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58"/>
        </w:trPr>
        <w:tc>
          <w:tcPr>
            <w:tcW w:w="940" w:type="dxa"/>
            <w:vAlign w:val="bottom"/>
          </w:tcPr>
          <w:p>
            <w:pPr>
              <w:spacing w:after="0"/>
              <w:rPr>
                <w:sz w:val="20"/>
                <w:szCs w:val="20"/>
                <w:color w:val="auto"/>
              </w:rPr>
            </w:pPr>
            <w:r>
              <w:rPr>
                <w:rFonts w:ascii="Arial" w:cs="Arial" w:eastAsia="Arial" w:hAnsi="Arial"/>
                <w:sz w:val="16"/>
                <w:szCs w:val="16"/>
                <w:color w:val="auto"/>
              </w:rPr>
              <w:t>6.</w:t>
            </w:r>
          </w:p>
        </w:tc>
        <w:tc>
          <w:tcPr>
            <w:tcW w:w="9520" w:type="dxa"/>
            <w:vAlign w:val="bottom"/>
            <w:gridSpan w:val="20"/>
          </w:tcPr>
          <w:p>
            <w:pPr>
              <w:spacing w:after="0"/>
              <w:rPr>
                <w:sz w:val="20"/>
                <w:szCs w:val="20"/>
                <w:color w:val="auto"/>
              </w:rPr>
            </w:pPr>
            <w:r>
              <w:rPr>
                <w:rFonts w:ascii="Arial" w:cs="Arial" w:eastAsia="Arial" w:hAnsi="Arial"/>
                <w:sz w:val="16"/>
                <w:szCs w:val="16"/>
                <w:color w:val="0000FF"/>
              </w:rPr>
              <w:t>Exhibits</w:t>
            </w:r>
          </w:p>
        </w:tc>
        <w:tc>
          <w:tcPr>
            <w:tcW w:w="78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358"/>
        </w:trPr>
        <w:tc>
          <w:tcPr>
            <w:tcW w:w="94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80" w:type="dxa"/>
            <w:vAlign w:val="bottom"/>
            <w:gridSpan w:val="8"/>
          </w:tcPr>
          <w:p>
            <w:pPr>
              <w:jc w:val="center"/>
              <w:ind w:right="4220"/>
              <w:spacing w:after="0"/>
              <w:rPr>
                <w:sz w:val="20"/>
                <w:szCs w:val="20"/>
                <w:color w:val="auto"/>
              </w:rPr>
            </w:pPr>
            <w:r>
              <w:rPr>
                <w:rFonts w:ascii="Arial" w:cs="Arial" w:eastAsia="Arial" w:hAnsi="Arial"/>
                <w:sz w:val="16"/>
                <w:szCs w:val="16"/>
                <w:b w:val="1"/>
                <w:bCs w:val="1"/>
                <w:color w:val="0000FF"/>
              </w:rPr>
              <w:t>SIGNATURE</w:t>
            </w:r>
          </w:p>
        </w:tc>
        <w:tc>
          <w:tcPr>
            <w:tcW w:w="78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815"/>
        </w:trPr>
        <w:tc>
          <w:tcPr>
            <w:tcW w:w="940" w:type="dxa"/>
            <w:vAlign w:val="bottom"/>
          </w:tcPr>
          <w:p>
            <w:pPr>
              <w:spacing w:after="0"/>
              <w:rPr>
                <w:sz w:val="24"/>
                <w:szCs w:val="24"/>
                <w:color w:val="auto"/>
              </w:rPr>
            </w:pPr>
          </w:p>
        </w:tc>
        <w:tc>
          <w:tcPr>
            <w:tcW w:w="4340" w:type="dxa"/>
            <w:vAlign w:val="bottom"/>
            <w:gridSpan w:val="12"/>
          </w:tcPr>
          <w:p>
            <w:pPr>
              <w:spacing w:after="0"/>
              <w:rPr>
                <w:sz w:val="24"/>
                <w:szCs w:val="24"/>
                <w:color w:val="auto"/>
              </w:rPr>
            </w:pPr>
          </w:p>
        </w:tc>
        <w:tc>
          <w:tcPr>
            <w:tcW w:w="960" w:type="dxa"/>
            <w:vAlign w:val="bottom"/>
            <w:tcBorders>
              <w:top w:val="single" w:sz="8" w:color="0000FF"/>
            </w:tcBorders>
          </w:tcPr>
          <w:p>
            <w:pPr>
              <w:jc w:val="right"/>
              <w:ind w:right="499"/>
              <w:spacing w:after="0"/>
              <w:rPr>
                <w:sz w:val="20"/>
                <w:szCs w:val="20"/>
                <w:color w:val="auto"/>
              </w:rPr>
            </w:pPr>
            <w:r>
              <w:rPr>
                <w:rFonts w:ascii="Arial" w:cs="Arial" w:eastAsia="Arial" w:hAnsi="Arial"/>
                <w:sz w:val="16"/>
                <w:szCs w:val="16"/>
                <w:color w:val="auto"/>
              </w:rPr>
              <w:t>2</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46"/>
        </w:trPr>
        <w:tc>
          <w:tcPr>
            <w:tcW w:w="9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3"/>
        </w:trPr>
        <w:tc>
          <w:tcPr>
            <w:tcW w:w="7340" w:type="dxa"/>
            <w:vAlign w:val="bottom"/>
          </w:tcPr>
          <w:p>
            <w:pPr>
              <w:spacing w:after="0"/>
              <w:rPr>
                <w:sz w:val="20"/>
                <w:szCs w:val="20"/>
                <w:color w:val="auto"/>
              </w:rPr>
            </w:pPr>
            <w:r>
              <w:rPr>
                <w:rFonts w:ascii="Arial" w:cs="Arial" w:eastAsia="Arial" w:hAnsi="Arial"/>
                <w:sz w:val="16"/>
                <w:szCs w:val="16"/>
                <w:b w:val="1"/>
                <w:bCs w:val="1"/>
                <w:color w:val="auto"/>
              </w:rPr>
              <w:t>PART I. FINANCIAL INFORMATION</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05"/>
        </w:trPr>
        <w:tc>
          <w:tcPr>
            <w:tcW w:w="7340" w:type="dxa"/>
            <w:vAlign w:val="bottom"/>
          </w:tcPr>
          <w:p>
            <w:pPr>
              <w:spacing w:after="0"/>
              <w:rPr>
                <w:sz w:val="20"/>
                <w:szCs w:val="20"/>
                <w:color w:val="auto"/>
              </w:rPr>
            </w:pPr>
            <w:r>
              <w:rPr>
                <w:rFonts w:ascii="Arial" w:cs="Arial" w:eastAsia="Arial" w:hAnsi="Arial"/>
                <w:sz w:val="16"/>
                <w:szCs w:val="16"/>
                <w:b w:val="1"/>
                <w:bCs w:val="1"/>
                <w:color w:val="auto"/>
              </w:rPr>
              <w:t>Item 1. Financial Statements</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71"/>
        </w:trPr>
        <w:tc>
          <w:tcPr>
            <w:tcW w:w="7340" w:type="dxa"/>
            <w:vAlign w:val="bottom"/>
          </w:tcPr>
          <w:p>
            <w:pPr>
              <w:spacing w:after="0"/>
              <w:rPr>
                <w:sz w:val="20"/>
                <w:szCs w:val="20"/>
                <w:color w:val="auto"/>
              </w:rPr>
            </w:pPr>
            <w:r>
              <w:rPr>
                <w:rFonts w:ascii="Arial" w:cs="Arial" w:eastAsia="Arial" w:hAnsi="Arial"/>
                <w:sz w:val="16"/>
                <w:szCs w:val="16"/>
                <w:b w:val="1"/>
                <w:bCs w:val="1"/>
                <w:color w:val="auto"/>
              </w:rPr>
              <w:t>TEGNA Inc.</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91"/>
        </w:trPr>
        <w:tc>
          <w:tcPr>
            <w:tcW w:w="7340" w:type="dxa"/>
            <w:vAlign w:val="bottom"/>
          </w:tcPr>
          <w:p>
            <w:pPr>
              <w:spacing w:after="0"/>
              <w:rPr>
                <w:sz w:val="20"/>
                <w:szCs w:val="20"/>
                <w:color w:val="auto"/>
              </w:rPr>
            </w:pPr>
            <w:r>
              <w:rPr>
                <w:rFonts w:ascii="Arial" w:cs="Arial" w:eastAsia="Arial" w:hAnsi="Arial"/>
                <w:sz w:val="16"/>
                <w:szCs w:val="16"/>
                <w:b w:val="1"/>
                <w:bCs w:val="1"/>
                <w:color w:val="auto"/>
              </w:rPr>
              <w:t>CONDENSED CONSOLIDATED BALANCE SHEETS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13"/>
        </w:trPr>
        <w:tc>
          <w:tcPr>
            <w:tcW w:w="7340" w:type="dxa"/>
            <w:vAlign w:val="bottom"/>
          </w:tcPr>
          <w:p>
            <w:pPr>
              <w:spacing w:after="0"/>
              <w:rPr>
                <w:sz w:val="20"/>
                <w:szCs w:val="20"/>
                <w:color w:val="auto"/>
              </w:rPr>
            </w:pPr>
            <w:r>
              <w:rPr>
                <w:rFonts w:ascii="Arial" w:cs="Arial" w:eastAsia="Arial" w:hAnsi="Arial"/>
                <w:sz w:val="16"/>
                <w:szCs w:val="16"/>
                <w:i w:val="1"/>
                <w:iCs w:val="1"/>
                <w:color w:val="auto"/>
              </w:rPr>
              <w:t>In thousands of dollars (Unaudited)</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67"/>
        </w:trPr>
        <w:tc>
          <w:tcPr>
            <w:tcW w:w="7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Sept. 30, 2025</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Dec. 31, 2024</w:t>
            </w:r>
          </w:p>
        </w:tc>
      </w:tr>
      <w:tr>
        <w:trPr>
          <w:trHeight w:val="183"/>
        </w:trPr>
        <w:tc>
          <w:tcPr>
            <w:tcW w:w="7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9"/>
        </w:trPr>
        <w:tc>
          <w:tcPr>
            <w:tcW w:w="73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r>
      <w:tr>
        <w:trPr>
          <w:trHeight w:val="189"/>
        </w:trPr>
        <w:tc>
          <w:tcPr>
            <w:tcW w:w="7340" w:type="dxa"/>
            <w:vAlign w:val="bottom"/>
          </w:tcPr>
          <w:p>
            <w:pPr>
              <w:spacing w:after="0"/>
              <w:rPr>
                <w:sz w:val="20"/>
                <w:szCs w:val="20"/>
                <w:color w:val="auto"/>
              </w:rPr>
            </w:pPr>
            <w:r>
              <w:rPr>
                <w:rFonts w:ascii="Arial" w:cs="Arial" w:eastAsia="Arial" w:hAnsi="Arial"/>
                <w:sz w:val="16"/>
                <w:szCs w:val="16"/>
                <w:i w:val="1"/>
                <w:iCs w:val="1"/>
                <w:color w:val="auto"/>
              </w:rPr>
              <w:t>Current assets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89"/>
        </w:trPr>
        <w:tc>
          <w:tcPr>
            <w:tcW w:w="734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232,775</w:t>
            </w:r>
          </w:p>
        </w:tc>
        <w:tc>
          <w:tcPr>
            <w:tcW w:w="34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693,214</w:t>
            </w:r>
          </w:p>
        </w:tc>
      </w:tr>
      <w:tr>
        <w:trPr>
          <w:trHeight w:val="189"/>
        </w:trPr>
        <w:tc>
          <w:tcPr>
            <w:tcW w:w="7340" w:type="dxa"/>
            <w:vAlign w:val="bottom"/>
          </w:tcPr>
          <w:p>
            <w:pPr>
              <w:spacing w:after="0"/>
              <w:rPr>
                <w:sz w:val="20"/>
                <w:szCs w:val="20"/>
                <w:color w:val="auto"/>
              </w:rPr>
            </w:pPr>
            <w:r>
              <w:rPr>
                <w:rFonts w:ascii="Arial" w:cs="Arial" w:eastAsia="Arial" w:hAnsi="Arial"/>
                <w:sz w:val="16"/>
                <w:szCs w:val="16"/>
                <w:color w:val="auto"/>
              </w:rPr>
              <w:t>Accounts receivable, net of allowances of $4,545 and $2,831, respectively</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576,467</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604,300</w:t>
            </w:r>
          </w:p>
        </w:tc>
      </w:tr>
      <w:tr>
        <w:trPr>
          <w:trHeight w:val="189"/>
        </w:trPr>
        <w:tc>
          <w:tcPr>
            <w:tcW w:w="7340" w:type="dxa"/>
            <w:vAlign w:val="bottom"/>
            <w:shd w:val="clear" w:color="auto" w:fill="CFF0FC"/>
          </w:tcPr>
          <w:p>
            <w:pPr>
              <w:spacing w:after="0"/>
              <w:rPr>
                <w:sz w:val="20"/>
                <w:szCs w:val="20"/>
                <w:color w:val="auto"/>
              </w:rPr>
            </w:pPr>
            <w:r>
              <w:rPr>
                <w:rFonts w:ascii="Arial" w:cs="Arial" w:eastAsia="Arial" w:hAnsi="Arial"/>
                <w:sz w:val="16"/>
                <w:szCs w:val="16"/>
                <w:color w:val="auto"/>
              </w:rPr>
              <w:t>Other receivables</w:t>
            </w:r>
          </w:p>
        </w:tc>
        <w:tc>
          <w:tcPr>
            <w:tcW w:w="3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22,871</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11,752</w:t>
            </w:r>
          </w:p>
        </w:tc>
      </w:tr>
      <w:tr>
        <w:trPr>
          <w:trHeight w:val="189"/>
        </w:trPr>
        <w:tc>
          <w:tcPr>
            <w:tcW w:w="7340" w:type="dxa"/>
            <w:vAlign w:val="bottom"/>
          </w:tcPr>
          <w:p>
            <w:pPr>
              <w:spacing w:after="0"/>
              <w:rPr>
                <w:sz w:val="20"/>
                <w:szCs w:val="20"/>
                <w:color w:val="auto"/>
              </w:rPr>
            </w:pPr>
            <w:r>
              <w:rPr>
                <w:rFonts w:ascii="Arial" w:cs="Arial" w:eastAsia="Arial" w:hAnsi="Arial"/>
                <w:sz w:val="16"/>
                <w:szCs w:val="16"/>
                <w:color w:val="auto"/>
              </w:rPr>
              <w:t>Syndicated programming rights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35,377</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28,097</w:t>
            </w:r>
          </w:p>
        </w:tc>
      </w:tr>
      <w:tr>
        <w:trPr>
          <w:trHeight w:val="189"/>
        </w:trPr>
        <w:tc>
          <w:tcPr>
            <w:tcW w:w="7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Borders>
              <w:bottom w:val="single" w:sz="8" w:color="auto"/>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29,418</w:t>
            </w:r>
          </w:p>
        </w:tc>
        <w:tc>
          <w:tcPr>
            <w:tcW w:w="16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23,049</w:t>
            </w:r>
          </w:p>
        </w:tc>
      </w:tr>
      <w:tr>
        <w:trPr>
          <w:trHeight w:val="183"/>
        </w:trPr>
        <w:tc>
          <w:tcPr>
            <w:tcW w:w="73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Total current assets</w:t>
            </w: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896,908</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1,360,412</w:t>
            </w:r>
          </w:p>
        </w:tc>
      </w:tr>
      <w:tr>
        <w:trPr>
          <w:trHeight w:val="183"/>
        </w:trPr>
        <w:tc>
          <w:tcPr>
            <w:tcW w:w="7340" w:type="dxa"/>
            <w:vAlign w:val="bottom"/>
            <w:shd w:val="clear" w:color="auto" w:fill="CFF0FC"/>
          </w:tcPr>
          <w:p>
            <w:pPr>
              <w:spacing w:after="0" w:line="183" w:lineRule="exact"/>
              <w:rPr>
                <w:sz w:val="20"/>
                <w:szCs w:val="20"/>
                <w:color w:val="auto"/>
              </w:rPr>
            </w:pPr>
            <w:r>
              <w:rPr>
                <w:rFonts w:ascii="Arial" w:cs="Arial" w:eastAsia="Arial" w:hAnsi="Arial"/>
                <w:sz w:val="16"/>
                <w:szCs w:val="16"/>
                <w:i w:val="1"/>
                <w:iCs w:val="1"/>
                <w:color w:val="auto"/>
              </w:rPr>
              <w:t>Property and equipment</w:t>
            </w:r>
          </w:p>
        </w:tc>
        <w:tc>
          <w:tcPr>
            <w:tcW w:w="3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r>
      <w:tr>
        <w:trPr>
          <w:trHeight w:val="189"/>
        </w:trPr>
        <w:tc>
          <w:tcPr>
            <w:tcW w:w="7340" w:type="dxa"/>
            <w:vAlign w:val="bottom"/>
          </w:tcPr>
          <w:p>
            <w:pPr>
              <w:spacing w:after="0"/>
              <w:rPr>
                <w:sz w:val="20"/>
                <w:szCs w:val="20"/>
                <w:color w:val="auto"/>
              </w:rPr>
            </w:pPr>
            <w:r>
              <w:rPr>
                <w:rFonts w:ascii="Arial" w:cs="Arial" w:eastAsia="Arial" w:hAnsi="Arial"/>
                <w:sz w:val="16"/>
                <w:szCs w:val="16"/>
                <w:color w:val="auto"/>
              </w:rPr>
              <w:t>Cost</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1,086,092</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1,093,900</w:t>
            </w:r>
          </w:p>
        </w:tc>
      </w:tr>
      <w:tr>
        <w:trPr>
          <w:trHeight w:val="189"/>
        </w:trPr>
        <w:tc>
          <w:tcPr>
            <w:tcW w:w="7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Less accumulated depreciation</w:t>
            </w:r>
          </w:p>
        </w:tc>
        <w:tc>
          <w:tcPr>
            <w:tcW w:w="340" w:type="dxa"/>
            <w:vAlign w:val="bottom"/>
            <w:tcBorders>
              <w:bottom w:val="single" w:sz="8" w:color="auto"/>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(665,337)</w:t>
            </w:r>
          </w:p>
        </w:tc>
        <w:tc>
          <w:tcPr>
            <w:tcW w:w="16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(649,581)</w:t>
            </w:r>
          </w:p>
        </w:tc>
      </w:tr>
      <w:tr>
        <w:trPr>
          <w:trHeight w:val="183"/>
        </w:trPr>
        <w:tc>
          <w:tcPr>
            <w:tcW w:w="73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Net property and equipment</w:t>
            </w: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420,755</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444,319</w:t>
            </w:r>
          </w:p>
        </w:tc>
      </w:tr>
      <w:tr>
        <w:trPr>
          <w:trHeight w:val="183"/>
        </w:trPr>
        <w:tc>
          <w:tcPr>
            <w:tcW w:w="7340" w:type="dxa"/>
            <w:vAlign w:val="bottom"/>
            <w:shd w:val="clear" w:color="auto" w:fill="CFF0FC"/>
          </w:tcPr>
          <w:p>
            <w:pPr>
              <w:spacing w:after="0" w:line="183" w:lineRule="exact"/>
              <w:rPr>
                <w:sz w:val="20"/>
                <w:szCs w:val="20"/>
                <w:color w:val="auto"/>
              </w:rPr>
            </w:pPr>
            <w:r>
              <w:rPr>
                <w:rFonts w:ascii="Arial" w:cs="Arial" w:eastAsia="Arial" w:hAnsi="Arial"/>
                <w:sz w:val="16"/>
                <w:szCs w:val="16"/>
                <w:i w:val="1"/>
                <w:iCs w:val="1"/>
                <w:color w:val="auto"/>
              </w:rPr>
              <w:t>Intangible and other assets</w:t>
            </w:r>
          </w:p>
        </w:tc>
        <w:tc>
          <w:tcPr>
            <w:tcW w:w="3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r>
      <w:tr>
        <w:trPr>
          <w:trHeight w:val="189"/>
        </w:trPr>
        <w:tc>
          <w:tcPr>
            <w:tcW w:w="7340" w:type="dxa"/>
            <w:vAlign w:val="bottom"/>
          </w:tcPr>
          <w:p>
            <w:pPr>
              <w:spacing w:after="0"/>
              <w:rPr>
                <w:sz w:val="20"/>
                <w:szCs w:val="20"/>
                <w:color w:val="auto"/>
              </w:rPr>
            </w:pPr>
            <w:r>
              <w:rPr>
                <w:rFonts w:ascii="Arial" w:cs="Arial" w:eastAsia="Arial" w:hAnsi="Arial"/>
                <w:sz w:val="16"/>
                <w:szCs w:val="16"/>
                <w:color w:val="auto"/>
              </w:rPr>
              <w:t>Goodwill</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3,015,944</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3,015,944</w:t>
            </w:r>
          </w:p>
        </w:tc>
      </w:tr>
      <w:tr>
        <w:trPr>
          <w:trHeight w:val="175"/>
        </w:trPr>
        <w:tc>
          <w:tcPr>
            <w:tcW w:w="73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Indefinite-lived and amortizable intangible assets, less accumulated amortization of $211,691 and</w:t>
            </w:r>
          </w:p>
        </w:tc>
        <w:tc>
          <w:tcPr>
            <w:tcW w:w="3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r>
      <w:tr>
        <w:trPr>
          <w:trHeight w:val="203"/>
        </w:trPr>
        <w:tc>
          <w:tcPr>
            <w:tcW w:w="7340" w:type="dxa"/>
            <w:vAlign w:val="bottom"/>
            <w:shd w:val="clear" w:color="auto" w:fill="CFF0FC"/>
          </w:tcPr>
          <w:p>
            <w:pPr>
              <w:spacing w:after="0"/>
              <w:rPr>
                <w:sz w:val="20"/>
                <w:szCs w:val="20"/>
                <w:color w:val="auto"/>
              </w:rPr>
            </w:pPr>
            <w:r>
              <w:rPr>
                <w:rFonts w:ascii="Arial" w:cs="Arial" w:eastAsia="Arial" w:hAnsi="Arial"/>
                <w:sz w:val="16"/>
                <w:szCs w:val="16"/>
                <w:color w:val="auto"/>
              </w:rPr>
              <w:t>$185,175, respectively</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2,282,631</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2,309,772</w:t>
            </w:r>
          </w:p>
        </w:tc>
      </w:tr>
      <w:tr>
        <w:trPr>
          <w:trHeight w:val="189"/>
        </w:trPr>
        <w:tc>
          <w:tcPr>
            <w:tcW w:w="7340" w:type="dxa"/>
            <w:vAlign w:val="bottom"/>
          </w:tcPr>
          <w:p>
            <w:pPr>
              <w:spacing w:after="0"/>
              <w:rPr>
                <w:sz w:val="20"/>
                <w:szCs w:val="20"/>
                <w:color w:val="auto"/>
              </w:rPr>
            </w:pPr>
            <w:r>
              <w:rPr>
                <w:rFonts w:ascii="Arial" w:cs="Arial" w:eastAsia="Arial" w:hAnsi="Arial"/>
                <w:sz w:val="16"/>
                <w:szCs w:val="16"/>
                <w:color w:val="auto"/>
              </w:rPr>
              <w:t>Right-of-use assets for operating leases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65,104</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63,535</w:t>
            </w:r>
          </w:p>
        </w:tc>
      </w:tr>
      <w:tr>
        <w:trPr>
          <w:trHeight w:val="189"/>
        </w:trPr>
        <w:tc>
          <w:tcPr>
            <w:tcW w:w="7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Investments and other assets</w:t>
            </w:r>
          </w:p>
        </w:tc>
        <w:tc>
          <w:tcPr>
            <w:tcW w:w="340" w:type="dxa"/>
            <w:vAlign w:val="bottom"/>
            <w:tcBorders>
              <w:bottom w:val="single" w:sz="8" w:color="auto"/>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126,208</w:t>
            </w:r>
          </w:p>
        </w:tc>
        <w:tc>
          <w:tcPr>
            <w:tcW w:w="16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132,537</w:t>
            </w:r>
          </w:p>
        </w:tc>
      </w:tr>
      <w:tr>
        <w:trPr>
          <w:trHeight w:val="183"/>
        </w:trPr>
        <w:tc>
          <w:tcPr>
            <w:tcW w:w="73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Total intangible and other assets</w:t>
            </w: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5,489,887</w:t>
            </w:r>
          </w:p>
        </w:tc>
        <w:tc>
          <w:tcPr>
            <w:tcW w:w="16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5,521,788</w:t>
            </w:r>
          </w:p>
        </w:tc>
      </w:tr>
      <w:tr>
        <w:trPr>
          <w:trHeight w:val="223"/>
        </w:trPr>
        <w:tc>
          <w:tcPr>
            <w:tcW w:w="734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assets</w:t>
            </w:r>
          </w:p>
        </w:tc>
        <w:tc>
          <w:tcPr>
            <w:tcW w:w="520" w:type="dxa"/>
            <w:vAlign w:val="bottom"/>
            <w:tcBorders>
              <w:bottom w:val="single" w:sz="8" w:color="auto"/>
            </w:tcBorders>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rPr>
              <w:t>6,807,550</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5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rPr>
              <w:t>7,326,519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-1636395</wp:posOffset>
            </wp:positionV>
            <wp:extent cx="1028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-1139190</wp:posOffset>
            </wp:positionV>
            <wp:extent cx="1028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-281940</wp:posOffset>
            </wp:positionV>
            <wp:extent cx="1028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1028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1028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-153670</wp:posOffset>
            </wp:positionV>
            <wp:extent cx="1028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auto"/>
        </w:rPr>
        <w:t>TEGNA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of dollars, except par value and share amounts (Unaudited)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Sept. 30, 2025</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Dec. 31, 2024</w:t>
            </w:r>
          </w:p>
        </w:tc>
      </w:tr>
      <w:tr>
        <w:trPr>
          <w:trHeight w:val="183"/>
        </w:trPr>
        <w:tc>
          <w:tcPr>
            <w:tcW w:w="748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LIABILITIES, REDEEMABLE NONCONTROLLING INTEREST AND EQUITY</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r>
      <w:tr>
        <w:trPr>
          <w:trHeight w:val="189"/>
        </w:trPr>
        <w:tc>
          <w:tcPr>
            <w:tcW w:w="7480" w:type="dxa"/>
            <w:vAlign w:val="bottom"/>
          </w:tcPr>
          <w:p>
            <w:pPr>
              <w:spacing w:after="0"/>
              <w:rPr>
                <w:sz w:val="20"/>
                <w:szCs w:val="20"/>
                <w:color w:val="auto"/>
              </w:rPr>
            </w:pPr>
            <w:r>
              <w:rPr>
                <w:rFonts w:ascii="Arial" w:cs="Arial" w:eastAsia="Arial" w:hAnsi="Arial"/>
                <w:sz w:val="16"/>
                <w:szCs w:val="16"/>
                <w:i w:val="1"/>
                <w:iCs w:val="1"/>
                <w:color w:val="auto"/>
              </w:rPr>
              <w:t>Current liabilities</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89"/>
        </w:trPr>
        <w:tc>
          <w:tcPr>
            <w:tcW w:w="7480" w:type="dxa"/>
            <w:vAlign w:val="bottom"/>
            <w:shd w:val="clear" w:color="auto" w:fill="CFF0FC"/>
          </w:tcPr>
          <w:p>
            <w:pPr>
              <w:spacing w:after="0"/>
              <w:rPr>
                <w:sz w:val="20"/>
                <w:szCs w:val="20"/>
                <w:color w:val="auto"/>
              </w:rPr>
            </w:pPr>
            <w:r>
              <w:rPr>
                <w:rFonts w:ascii="Arial" w:cs="Arial" w:eastAsia="Arial" w:hAnsi="Arial"/>
                <w:sz w:val="16"/>
                <w:szCs w:val="16"/>
                <w:color w:val="auto"/>
              </w:rPr>
              <w:t>Accounts payable</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83,617</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87,338</w:t>
            </w:r>
          </w:p>
        </w:tc>
      </w:tr>
      <w:tr>
        <w:trPr>
          <w:trHeight w:val="189"/>
        </w:trPr>
        <w:tc>
          <w:tcPr>
            <w:tcW w:w="7480" w:type="dxa"/>
            <w:vAlign w:val="bottom"/>
          </w:tcPr>
          <w:p>
            <w:pPr>
              <w:spacing w:after="0"/>
              <w:rPr>
                <w:sz w:val="20"/>
                <w:szCs w:val="20"/>
                <w:color w:val="auto"/>
              </w:rPr>
            </w:pPr>
            <w:r>
              <w:rPr>
                <w:rFonts w:ascii="Arial" w:cs="Arial" w:eastAsia="Arial" w:hAnsi="Arial"/>
                <w:sz w:val="16"/>
                <w:szCs w:val="16"/>
                <w:color w:val="auto"/>
              </w:rPr>
              <w:t>Accrued liabilities</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89"/>
        </w:trPr>
        <w:tc>
          <w:tcPr>
            <w:tcW w:w="74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Compensation</w:t>
            </w: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72,598</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64,343</w:t>
            </w:r>
          </w:p>
        </w:tc>
      </w:tr>
      <w:tr>
        <w:trPr>
          <w:trHeight w:val="189"/>
        </w:trPr>
        <w:tc>
          <w:tcPr>
            <w:tcW w:w="7480" w:type="dxa"/>
            <w:vAlign w:val="bottom"/>
          </w:tcPr>
          <w:p>
            <w:pPr>
              <w:ind w:left="140"/>
              <w:spacing w:after="0"/>
              <w:rPr>
                <w:sz w:val="20"/>
                <w:szCs w:val="20"/>
                <w:color w:val="auto"/>
              </w:rPr>
            </w:pPr>
            <w:r>
              <w:rPr>
                <w:rFonts w:ascii="Arial" w:cs="Arial" w:eastAsia="Arial" w:hAnsi="Arial"/>
                <w:sz w:val="16"/>
                <w:szCs w:val="16"/>
                <w:color w:val="auto"/>
              </w:rPr>
              <w:t>Interest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10,771</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44,719</w:t>
            </w:r>
          </w:p>
        </w:tc>
      </w:tr>
      <w:tr>
        <w:trPr>
          <w:trHeight w:val="189"/>
        </w:trPr>
        <w:tc>
          <w:tcPr>
            <w:tcW w:w="74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Contracts payable for programming rights</w:t>
            </w: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153,019</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143,095</w:t>
            </w:r>
          </w:p>
        </w:tc>
      </w:tr>
      <w:tr>
        <w:trPr>
          <w:trHeight w:val="189"/>
        </w:trPr>
        <w:tc>
          <w:tcPr>
            <w:tcW w:w="7480" w:type="dxa"/>
            <w:vAlign w:val="bottom"/>
          </w:tcPr>
          <w:p>
            <w:pPr>
              <w:ind w:left="14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84,286</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75,454</w:t>
            </w:r>
          </w:p>
        </w:tc>
      </w:tr>
      <w:tr>
        <w:trPr>
          <w:trHeight w:val="189"/>
        </w:trPr>
        <w:tc>
          <w:tcPr>
            <w:tcW w:w="74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Income taxes payable</w:t>
            </w:r>
          </w:p>
        </w:tc>
        <w:tc>
          <w:tcPr>
            <w:tcW w:w="180" w:type="dxa"/>
            <w:vAlign w:val="bottom"/>
            <w:tcBorders>
              <w:bottom w:val="single" w:sz="8" w:color="auto"/>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5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51,331</w:t>
            </w:r>
          </w:p>
        </w:tc>
      </w:tr>
      <w:tr>
        <w:trPr>
          <w:trHeight w:val="183"/>
        </w:trPr>
        <w:tc>
          <w:tcPr>
            <w:tcW w:w="74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Total current liabilities</w:t>
            </w: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404,291</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466,280</w:t>
            </w:r>
          </w:p>
        </w:tc>
      </w:tr>
      <w:tr>
        <w:trPr>
          <w:trHeight w:val="183"/>
        </w:trPr>
        <w:tc>
          <w:tcPr>
            <w:tcW w:w="74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r>
      <w:tr>
        <w:trPr>
          <w:trHeight w:val="189"/>
        </w:trPr>
        <w:tc>
          <w:tcPr>
            <w:tcW w:w="7480" w:type="dxa"/>
            <w:vAlign w:val="bottom"/>
          </w:tcPr>
          <w:p>
            <w:pPr>
              <w:spacing w:after="0"/>
              <w:rPr>
                <w:sz w:val="20"/>
                <w:szCs w:val="20"/>
                <w:color w:val="auto"/>
              </w:rPr>
            </w:pPr>
            <w:r>
              <w:rPr>
                <w:rFonts w:ascii="Arial" w:cs="Arial" w:eastAsia="Arial" w:hAnsi="Arial"/>
                <w:sz w:val="16"/>
                <w:szCs w:val="16"/>
                <w:i w:val="1"/>
                <w:iCs w:val="1"/>
                <w:color w:val="auto"/>
              </w:rPr>
              <w:t>Noncurrent liabilities</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89"/>
        </w:trPr>
        <w:tc>
          <w:tcPr>
            <w:tcW w:w="7480" w:type="dxa"/>
            <w:vAlign w:val="bottom"/>
            <w:shd w:val="clear" w:color="auto" w:fill="CFF0FC"/>
          </w:tcPr>
          <w:p>
            <w:pPr>
              <w:spacing w:after="0"/>
              <w:rPr>
                <w:sz w:val="20"/>
                <w:szCs w:val="20"/>
                <w:color w:val="auto"/>
              </w:rPr>
            </w:pPr>
            <w:r>
              <w:rPr>
                <w:rFonts w:ascii="Arial" w:cs="Arial" w:eastAsia="Arial" w:hAnsi="Arial"/>
                <w:sz w:val="16"/>
                <w:szCs w:val="16"/>
                <w:color w:val="auto"/>
              </w:rPr>
              <w:t>Net deferred income tax liabilities</w:t>
            </w: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588,172</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579,213</w:t>
            </w:r>
          </w:p>
        </w:tc>
      </w:tr>
      <w:tr>
        <w:trPr>
          <w:trHeight w:val="189"/>
        </w:trPr>
        <w:tc>
          <w:tcPr>
            <w:tcW w:w="7480" w:type="dxa"/>
            <w:vAlign w:val="bottom"/>
          </w:tcPr>
          <w:p>
            <w:pPr>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2,530,015</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3,076,451</w:t>
            </w:r>
          </w:p>
        </w:tc>
      </w:tr>
      <w:tr>
        <w:trPr>
          <w:trHeight w:val="189"/>
        </w:trPr>
        <w:tc>
          <w:tcPr>
            <w:tcW w:w="7480" w:type="dxa"/>
            <w:vAlign w:val="bottom"/>
            <w:shd w:val="clear" w:color="auto" w:fill="CFF0FC"/>
          </w:tcPr>
          <w:p>
            <w:pPr>
              <w:spacing w:after="0"/>
              <w:rPr>
                <w:sz w:val="20"/>
                <w:szCs w:val="20"/>
                <w:color w:val="auto"/>
              </w:rPr>
            </w:pPr>
            <w:r>
              <w:rPr>
                <w:rFonts w:ascii="Arial" w:cs="Arial" w:eastAsia="Arial" w:hAnsi="Arial"/>
                <w:sz w:val="16"/>
                <w:szCs w:val="16"/>
                <w:color w:val="auto"/>
              </w:rPr>
              <w:t>Pension liabilities</w:t>
            </w: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58,586</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65,956</w:t>
            </w:r>
          </w:p>
        </w:tc>
      </w:tr>
      <w:tr>
        <w:trPr>
          <w:trHeight w:val="189"/>
        </w:trPr>
        <w:tc>
          <w:tcPr>
            <w:tcW w:w="748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60,113</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63,421</w:t>
            </w:r>
          </w:p>
        </w:tc>
      </w:tr>
      <w:tr>
        <w:trPr>
          <w:trHeight w:val="189"/>
        </w:trPr>
        <w:tc>
          <w:tcPr>
            <w:tcW w:w="74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auto"/>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5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50,109</w:t>
            </w:r>
          </w:p>
        </w:tc>
        <w:tc>
          <w:tcPr>
            <w:tcW w:w="16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50,167</w:t>
            </w:r>
          </w:p>
        </w:tc>
      </w:tr>
      <w:tr>
        <w:trPr>
          <w:trHeight w:val="183"/>
        </w:trPr>
        <w:tc>
          <w:tcPr>
            <w:tcW w:w="74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Total noncurrent liabilities</w:t>
            </w: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3,286,995</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3,835,208</w:t>
            </w:r>
          </w:p>
        </w:tc>
      </w:tr>
      <w:tr>
        <w:trPr>
          <w:trHeight w:val="183"/>
        </w:trPr>
        <w:tc>
          <w:tcPr>
            <w:tcW w:w="748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liabilities</w:t>
            </w:r>
          </w:p>
        </w:tc>
        <w:tc>
          <w:tcPr>
            <w:tcW w:w="36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b w:val="1"/>
                <w:bCs w:val="1"/>
                <w:color w:val="auto"/>
              </w:rPr>
              <w:t>$</w:t>
            </w:r>
          </w:p>
        </w:tc>
        <w:tc>
          <w:tcPr>
            <w:tcW w:w="15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rPr>
              <w:t>3,691,286</w:t>
            </w:r>
          </w:p>
        </w:tc>
        <w:tc>
          <w:tcPr>
            <w:tcW w:w="34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b w:val="1"/>
                <w:bCs w:val="1"/>
                <w:color w:val="auto"/>
              </w:rPr>
              <w:t>$</w:t>
            </w:r>
          </w:p>
        </w:tc>
        <w:tc>
          <w:tcPr>
            <w:tcW w:w="15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rPr>
              <w:t>4,301,488</w:t>
            </w:r>
          </w:p>
        </w:tc>
      </w:tr>
      <w:tr>
        <w:trPr>
          <w:trHeight w:val="183"/>
        </w:trPr>
        <w:tc>
          <w:tcPr>
            <w:tcW w:w="74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r>
      <w:tr>
        <w:trPr>
          <w:trHeight w:val="189"/>
        </w:trPr>
        <w:tc>
          <w:tcPr>
            <w:tcW w:w="74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Commitments and contingent liabilities (see Note 10)</w:t>
            </w: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r>
      <w:tr>
        <w:trPr>
          <w:trHeight w:val="189"/>
        </w:trPr>
        <w:tc>
          <w:tcPr>
            <w:tcW w:w="7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89"/>
        </w:trPr>
        <w:tc>
          <w:tcPr>
            <w:tcW w:w="74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Redeemable noncontrolling interest (see Note 1)</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w:t>
            </w:r>
          </w:p>
        </w:tc>
        <w:tc>
          <w:tcPr>
            <w:tcW w:w="154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w:t>
            </w: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20,317</w:t>
            </w:r>
          </w:p>
        </w:tc>
      </w:tr>
      <w:tr>
        <w:trPr>
          <w:trHeight w:val="189"/>
        </w:trPr>
        <w:tc>
          <w:tcPr>
            <w:tcW w:w="7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3"/>
        </w:trPr>
        <w:tc>
          <w:tcPr>
            <w:tcW w:w="748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Shareholders</w:t>
            </w:r>
            <w:r>
              <w:rPr>
                <w:rFonts w:ascii="Arial" w:cs="Arial" w:eastAsia="Arial" w:hAnsi="Arial"/>
                <w:sz w:val="16"/>
                <w:szCs w:val="16"/>
                <w:color w:val="auto"/>
              </w:rPr>
              <w:t>̛</w:t>
            </w:r>
            <w:r>
              <w:rPr>
                <w:rFonts w:ascii="Arial" w:cs="Arial" w:eastAsia="Arial" w:hAnsi="Arial"/>
                <w:sz w:val="16"/>
                <w:szCs w:val="16"/>
                <w:i w:val="1"/>
                <w:iCs w:val="1"/>
                <w:color w:val="auto"/>
              </w:rPr>
              <w:t>equity</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r>
      <w:tr>
        <w:trPr>
          <w:trHeight w:val="189"/>
        </w:trPr>
        <w:tc>
          <w:tcPr>
            <w:tcW w:w="7480" w:type="dxa"/>
            <w:vAlign w:val="bottom"/>
          </w:tcPr>
          <w:p>
            <w:pPr>
              <w:spacing w:after="0"/>
              <w:rPr>
                <w:sz w:val="20"/>
                <w:szCs w:val="20"/>
                <w:color w:val="auto"/>
              </w:rPr>
            </w:pPr>
            <w:r>
              <w:rPr>
                <w:rFonts w:ascii="Arial" w:cs="Arial" w:eastAsia="Arial" w:hAnsi="Arial"/>
                <w:sz w:val="16"/>
                <w:szCs w:val="16"/>
                <w:color w:val="auto"/>
              </w:rPr>
              <w:t>Common stock of $1 per value per share, 800,000,000 shares authorized, 324,418,632 shares issued</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324,419</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324,419</w:t>
            </w:r>
          </w:p>
        </w:tc>
      </w:tr>
      <w:tr>
        <w:trPr>
          <w:trHeight w:val="189"/>
        </w:trPr>
        <w:tc>
          <w:tcPr>
            <w:tcW w:w="7480" w:type="dxa"/>
            <w:vAlign w:val="bottom"/>
            <w:shd w:val="clear" w:color="auto" w:fill="CFF0FC"/>
          </w:tcPr>
          <w:p>
            <w:pPr>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27,941</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27,941</w:t>
            </w:r>
          </w:p>
        </w:tc>
      </w:tr>
      <w:tr>
        <w:trPr>
          <w:trHeight w:val="189"/>
        </w:trPr>
        <w:tc>
          <w:tcPr>
            <w:tcW w:w="7480" w:type="dxa"/>
            <w:vAlign w:val="bottom"/>
          </w:tcPr>
          <w:p>
            <w:pPr>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8,585,313</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8,549,717</w:t>
            </w:r>
          </w:p>
        </w:tc>
      </w:tr>
      <w:tr>
        <w:trPr>
          <w:trHeight w:val="189"/>
        </w:trPr>
        <w:tc>
          <w:tcPr>
            <w:tcW w:w="7480" w:type="dxa"/>
            <w:vAlign w:val="bottom"/>
            <w:shd w:val="clear" w:color="auto" w:fill="CFF0FC"/>
          </w:tcPr>
          <w:p>
            <w:pPr>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(104,036)</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(106,644)</w:t>
            </w:r>
          </w:p>
        </w:tc>
      </w:tr>
      <w:tr>
        <w:trPr>
          <w:trHeight w:val="189"/>
        </w:trPr>
        <w:tc>
          <w:tcPr>
            <w:tcW w:w="7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Less treasury stock at cost, 163,364,589 shares and 164,520,591 shares, respectively</w:t>
            </w: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(5,717,373)</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(5,790,719)</w:t>
            </w:r>
          </w:p>
        </w:tc>
      </w:tr>
      <w:tr>
        <w:trPr>
          <w:trHeight w:val="183"/>
        </w:trPr>
        <w:tc>
          <w:tcPr>
            <w:tcW w:w="748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equity</w:t>
            </w:r>
          </w:p>
        </w:tc>
        <w:tc>
          <w:tcPr>
            <w:tcW w:w="18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5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rPr>
              <w:t>3,116,264</w:t>
            </w:r>
          </w:p>
        </w:tc>
        <w:tc>
          <w:tcPr>
            <w:tcW w:w="1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5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rPr>
              <w:t>3,004,714</w:t>
            </w:r>
          </w:p>
        </w:tc>
      </w:tr>
      <w:tr>
        <w:trPr>
          <w:trHeight w:val="183"/>
        </w:trPr>
        <w:tc>
          <w:tcPr>
            <w:tcW w:w="7480" w:type="dxa"/>
            <w:vAlign w:val="bottom"/>
          </w:tcPr>
          <w:p>
            <w:pPr>
              <w:spacing w:after="0" w:line="183" w:lineRule="exact"/>
              <w:rPr>
                <w:sz w:val="20"/>
                <w:szCs w:val="20"/>
                <w:color w:val="auto"/>
              </w:rPr>
            </w:pPr>
            <w:r>
              <w:rPr>
                <w:rFonts w:ascii="Arial" w:cs="Arial" w:eastAsia="Arial" w:hAnsi="Arial"/>
                <w:sz w:val="16"/>
                <w:szCs w:val="16"/>
                <w:b w:val="1"/>
                <w:bCs w:val="1"/>
                <w:color w:val="auto"/>
              </w:rPr>
              <w:t>Total liabilities, redeemable noncontrolling interest and equity</w:t>
            </w:r>
          </w:p>
        </w:tc>
        <w:tc>
          <w:tcPr>
            <w:tcW w:w="360" w:type="dxa"/>
            <w:vAlign w:val="bottom"/>
            <w:gridSpan w:val="2"/>
          </w:tcPr>
          <w:p>
            <w:pPr>
              <w:jc w:val="right"/>
              <w:ind w:right="80"/>
              <w:spacing w:after="0" w:line="183" w:lineRule="exact"/>
              <w:rPr>
                <w:sz w:val="20"/>
                <w:szCs w:val="20"/>
                <w:color w:val="auto"/>
              </w:rPr>
            </w:pPr>
            <w:r>
              <w:rPr>
                <w:rFonts w:ascii="Arial" w:cs="Arial" w:eastAsia="Arial" w:hAnsi="Arial"/>
                <w:sz w:val="16"/>
                <w:szCs w:val="16"/>
                <w:b w:val="1"/>
                <w:bCs w:val="1"/>
                <w:color w:val="auto"/>
              </w:rPr>
              <w:t>$</w:t>
            </w:r>
          </w:p>
        </w:tc>
        <w:tc>
          <w:tcPr>
            <w:tcW w:w="1540" w:type="dxa"/>
            <w:vAlign w:val="bottom"/>
          </w:tcPr>
          <w:p>
            <w:pPr>
              <w:jc w:val="right"/>
              <w:ind w:right="39"/>
              <w:spacing w:after="0" w:line="183" w:lineRule="exact"/>
              <w:rPr>
                <w:sz w:val="20"/>
                <w:szCs w:val="20"/>
                <w:color w:val="auto"/>
              </w:rPr>
            </w:pPr>
            <w:r>
              <w:rPr>
                <w:rFonts w:ascii="Arial" w:cs="Arial" w:eastAsia="Arial" w:hAnsi="Arial"/>
                <w:sz w:val="16"/>
                <w:szCs w:val="16"/>
                <w:b w:val="1"/>
                <w:bCs w:val="1"/>
                <w:color w:val="auto"/>
              </w:rPr>
              <w:t>6,807,550</w:t>
            </w:r>
          </w:p>
        </w:tc>
        <w:tc>
          <w:tcPr>
            <w:tcW w:w="340" w:type="dxa"/>
            <w:vAlign w:val="bottom"/>
            <w:gridSpan w:val="2"/>
          </w:tcPr>
          <w:p>
            <w:pPr>
              <w:jc w:val="right"/>
              <w:ind w:right="100"/>
              <w:spacing w:after="0" w:line="183" w:lineRule="exact"/>
              <w:rPr>
                <w:sz w:val="20"/>
                <w:szCs w:val="20"/>
                <w:color w:val="auto"/>
              </w:rPr>
            </w:pPr>
            <w:r>
              <w:rPr>
                <w:rFonts w:ascii="Arial" w:cs="Arial" w:eastAsia="Arial" w:hAnsi="Arial"/>
                <w:sz w:val="16"/>
                <w:szCs w:val="16"/>
                <w:b w:val="1"/>
                <w:bCs w:val="1"/>
                <w:color w:val="auto"/>
              </w:rPr>
              <w:t>$</w:t>
            </w:r>
          </w:p>
        </w:tc>
        <w:tc>
          <w:tcPr>
            <w:tcW w:w="1520" w:type="dxa"/>
            <w:vAlign w:val="bottom"/>
          </w:tcPr>
          <w:p>
            <w:pPr>
              <w:jc w:val="right"/>
              <w:ind w:right="39"/>
              <w:spacing w:after="0" w:line="183" w:lineRule="exact"/>
              <w:rPr>
                <w:sz w:val="20"/>
                <w:szCs w:val="20"/>
                <w:color w:val="auto"/>
              </w:rPr>
            </w:pPr>
            <w:r>
              <w:rPr>
                <w:rFonts w:ascii="Arial" w:cs="Arial" w:eastAsia="Arial" w:hAnsi="Arial"/>
                <w:sz w:val="16"/>
                <w:szCs w:val="16"/>
                <w:b w:val="1"/>
                <w:bCs w:val="1"/>
                <w:color w:val="auto"/>
              </w:rPr>
              <w:t>7,326,519</w:t>
            </w:r>
          </w:p>
        </w:tc>
      </w:tr>
      <w:tr>
        <w:trPr>
          <w:trHeight w:val="20"/>
        </w:trPr>
        <w:tc>
          <w:tcPr>
            <w:tcW w:w="7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5941695</wp:posOffset>
            </wp:positionH>
            <wp:positionV relativeFrom="paragraph">
              <wp:posOffset>-2866390</wp:posOffset>
            </wp:positionV>
            <wp:extent cx="12827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270" cy="16256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-1876425</wp:posOffset>
            </wp:positionV>
            <wp:extent cx="1028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-1619250</wp:posOffset>
            </wp:positionV>
            <wp:extent cx="1028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-153670</wp:posOffset>
            </wp:positionV>
            <wp:extent cx="1028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TEGNA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INCOME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Unaudited, in thousands of dollars, except per share amounts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Quarter ended Sept. 30,</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4"/>
          </w:tcPr>
          <w:p>
            <w:pPr>
              <w:ind w:left="220"/>
              <w:spacing w:after="0"/>
              <w:rPr>
                <w:sz w:val="20"/>
                <w:szCs w:val="20"/>
                <w:color w:val="auto"/>
              </w:rPr>
            </w:pPr>
            <w:r>
              <w:rPr>
                <w:rFonts w:ascii="Arial" w:cs="Arial" w:eastAsia="Arial" w:hAnsi="Arial"/>
                <w:sz w:val="16"/>
                <w:szCs w:val="16"/>
                <w:b w:val="1"/>
                <w:bCs w:val="1"/>
                <w:color w:val="auto"/>
              </w:rPr>
              <w:t>Nine months ended Sept. 30,</w:t>
            </w:r>
          </w:p>
        </w:tc>
      </w:tr>
      <w:tr>
        <w:trPr>
          <w:trHeight w:val="183"/>
        </w:trPr>
        <w:tc>
          <w:tcPr>
            <w:tcW w:w="47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200"/>
              <w:spacing w:after="0" w:line="183" w:lineRule="exact"/>
              <w:rPr>
                <w:sz w:val="20"/>
                <w:szCs w:val="20"/>
                <w:color w:val="auto"/>
              </w:rPr>
            </w:pPr>
            <w:r>
              <w:rPr>
                <w:rFonts w:ascii="Arial" w:cs="Arial" w:eastAsia="Arial" w:hAnsi="Arial"/>
                <w:sz w:val="16"/>
                <w:szCs w:val="16"/>
                <w:b w:val="1"/>
                <w:bCs w:val="1"/>
                <w:color w:val="auto"/>
              </w:rPr>
              <w:t>2025</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99"/>
              <w:spacing w:after="0" w:line="183" w:lineRule="exact"/>
              <w:rPr>
                <w:sz w:val="20"/>
                <w:szCs w:val="20"/>
                <w:color w:val="auto"/>
              </w:rPr>
            </w:pPr>
            <w:r>
              <w:rPr>
                <w:rFonts w:ascii="Arial" w:cs="Arial" w:eastAsia="Arial" w:hAnsi="Arial"/>
                <w:sz w:val="16"/>
                <w:szCs w:val="16"/>
                <w:b w:val="1"/>
                <w:bCs w:val="1"/>
                <w:color w:val="auto"/>
              </w:rPr>
              <w:t>2024</w:t>
            </w:r>
          </w:p>
        </w:tc>
      </w:tr>
      <w:tr>
        <w:trPr>
          <w:trHeight w:val="183"/>
        </w:trPr>
        <w:tc>
          <w:tcPr>
            <w:tcW w:w="4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9"/>
        </w:trPr>
        <w:tc>
          <w:tcPr>
            <w:tcW w:w="47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Revenues</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650,791</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806,827</w:t>
            </w: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2,005,885</w:t>
            </w: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2,231,442</w:t>
            </w:r>
          </w:p>
        </w:tc>
      </w:tr>
      <w:tr>
        <w:trPr>
          <w:trHeight w:val="189"/>
        </w:trPr>
        <w:tc>
          <w:tcPr>
            <w:tcW w:w="4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9"/>
        </w:trPr>
        <w:tc>
          <w:tcPr>
            <w:tcW w:w="47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expenses:</w:t>
            </w: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r>
      <w:tr>
        <w:trPr>
          <w:trHeight w:val="189"/>
        </w:trPr>
        <w:tc>
          <w:tcPr>
            <w:tcW w:w="4760" w:type="dxa"/>
            <w:vAlign w:val="bottom"/>
          </w:tcPr>
          <w:p>
            <w:pPr>
              <w:spacing w:after="0" w:line="189" w:lineRule="exact"/>
              <w:rPr>
                <w:sz w:val="20"/>
                <w:szCs w:val="20"/>
                <w:color w:val="auto"/>
              </w:rPr>
            </w:pPr>
            <w:r>
              <w:rPr>
                <w:rFonts w:ascii="Arial" w:cs="Arial" w:eastAsia="Arial" w:hAnsi="Arial"/>
                <w:sz w:val="16"/>
                <w:szCs w:val="16"/>
                <w:color w:val="auto"/>
              </w:rPr>
              <w:t>Cost of revenues</w:t>
            </w:r>
            <w:r>
              <w:rPr>
                <w:rFonts w:ascii="Arial" w:cs="Arial" w:eastAsia="Arial" w:hAnsi="Arial"/>
                <w:sz w:val="21"/>
                <w:szCs w:val="21"/>
                <w:color w:val="auto"/>
                <w:vertAlign w:val="superscript"/>
              </w:rPr>
              <w:t>1</w:t>
            </w:r>
          </w:p>
        </w:tc>
        <w:tc>
          <w:tcPr>
            <w:tcW w:w="28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422,121</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437,855</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1,286,008</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1,300,466</w:t>
            </w:r>
          </w:p>
        </w:tc>
      </w:tr>
      <w:tr>
        <w:trPr>
          <w:trHeight w:val="189"/>
        </w:trPr>
        <w:tc>
          <w:tcPr>
            <w:tcW w:w="4760" w:type="dxa"/>
            <w:vAlign w:val="bottom"/>
            <w:shd w:val="clear" w:color="auto" w:fill="CFF0FC"/>
          </w:tcPr>
          <w:p>
            <w:pPr>
              <w:spacing w:after="0"/>
              <w:rPr>
                <w:sz w:val="20"/>
                <w:szCs w:val="20"/>
                <w:color w:val="auto"/>
              </w:rPr>
            </w:pPr>
            <w:r>
              <w:rPr>
                <w:rFonts w:ascii="Arial" w:cs="Arial" w:eastAsia="Arial" w:hAnsi="Arial"/>
                <w:sz w:val="16"/>
                <w:szCs w:val="16"/>
                <w:color w:val="auto"/>
              </w:rPr>
              <w:t>Business units - Selling, general and administrative expenses</w:t>
            </w: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89,901</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96,882</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280,446</w:t>
            </w: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294,080</w:t>
            </w:r>
          </w:p>
        </w:tc>
      </w:tr>
      <w:tr>
        <w:trPr>
          <w:trHeight w:val="189"/>
        </w:trPr>
        <w:tc>
          <w:tcPr>
            <w:tcW w:w="4760" w:type="dxa"/>
            <w:vAlign w:val="bottom"/>
          </w:tcPr>
          <w:p>
            <w:pPr>
              <w:spacing w:after="0"/>
              <w:rPr>
                <w:sz w:val="20"/>
                <w:szCs w:val="20"/>
                <w:color w:val="auto"/>
              </w:rPr>
            </w:pPr>
            <w:r>
              <w:rPr>
                <w:rFonts w:ascii="Arial" w:cs="Arial" w:eastAsia="Arial" w:hAnsi="Arial"/>
                <w:sz w:val="16"/>
                <w:szCs w:val="16"/>
                <w:color w:val="auto"/>
              </w:rPr>
              <w:t>Corporate - General and administrative expenses</w:t>
            </w:r>
          </w:p>
        </w:tc>
        <w:tc>
          <w:tcPr>
            <w:tcW w:w="28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22,821</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13,188</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43,086</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40,671</w:t>
            </w:r>
          </w:p>
        </w:tc>
      </w:tr>
      <w:tr>
        <w:trPr>
          <w:trHeight w:val="189"/>
        </w:trPr>
        <w:tc>
          <w:tcPr>
            <w:tcW w:w="4760" w:type="dxa"/>
            <w:vAlign w:val="bottom"/>
            <w:shd w:val="clear" w:color="auto" w:fill="CFF0FC"/>
          </w:tcPr>
          <w:p>
            <w:pPr>
              <w:spacing w:after="0"/>
              <w:rPr>
                <w:sz w:val="20"/>
                <w:szCs w:val="20"/>
                <w:color w:val="auto"/>
              </w:rPr>
            </w:pPr>
            <w:r>
              <w:rPr>
                <w:rFonts w:ascii="Arial" w:cs="Arial" w:eastAsia="Arial" w:hAnsi="Arial"/>
                <w:sz w:val="16"/>
                <w:szCs w:val="16"/>
                <w:color w:val="auto"/>
              </w:rPr>
              <w:t>Depreciation</w:t>
            </w: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14,997</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15,543</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46,272</w:t>
            </w: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45,026</w:t>
            </w:r>
          </w:p>
        </w:tc>
      </w:tr>
      <w:tr>
        <w:trPr>
          <w:trHeight w:val="189"/>
        </w:trPr>
        <w:tc>
          <w:tcPr>
            <w:tcW w:w="4760" w:type="dxa"/>
            <w:vAlign w:val="bottom"/>
          </w:tcPr>
          <w:p>
            <w:pPr>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8,831</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13,467</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26,516</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40,790</w:t>
            </w:r>
          </w:p>
        </w:tc>
      </w:tr>
      <w:tr>
        <w:trPr>
          <w:trHeight w:val="189"/>
        </w:trPr>
        <w:tc>
          <w:tcPr>
            <w:tcW w:w="47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Asset impairment and other</w:t>
            </w:r>
          </w:p>
        </w:tc>
        <w:tc>
          <w:tcPr>
            <w:tcW w:w="28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1,097</w:t>
            </w:r>
          </w:p>
        </w:tc>
      </w:tr>
      <w:tr>
        <w:trPr>
          <w:trHeight w:val="183"/>
        </w:trPr>
        <w:tc>
          <w:tcPr>
            <w:tcW w:w="47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i w:val="1"/>
                <w:iCs w:val="1"/>
                <w:color w:val="auto"/>
              </w:rPr>
              <w:t>Total</w:t>
            </w: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558,671</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576,935</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1,682,328</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1,722,130</w:t>
            </w:r>
          </w:p>
        </w:tc>
      </w:tr>
      <w:tr>
        <w:trPr>
          <w:trHeight w:val="183"/>
        </w:trPr>
        <w:tc>
          <w:tcPr>
            <w:tcW w:w="476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b w:val="1"/>
                <w:bCs w:val="1"/>
                <w:i w:val="1"/>
                <w:iCs w:val="1"/>
                <w:color w:val="auto"/>
              </w:rPr>
              <w:t>Operating income</w:t>
            </w:r>
          </w:p>
        </w:tc>
        <w:tc>
          <w:tcPr>
            <w:tcW w:w="2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rPr>
              <w:t>92,120</w:t>
            </w:r>
          </w:p>
        </w:tc>
        <w:tc>
          <w:tcPr>
            <w:tcW w:w="1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rPr>
              <w:t>229,892</w:t>
            </w: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rPr>
              <w:t>323,557</w:t>
            </w:r>
          </w:p>
        </w:tc>
        <w:tc>
          <w:tcPr>
            <w:tcW w:w="2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rPr>
              <w:t>509,312</w:t>
            </w:r>
          </w:p>
        </w:tc>
      </w:tr>
      <w:tr>
        <w:trPr>
          <w:trHeight w:val="183"/>
        </w:trPr>
        <w:tc>
          <w:tcPr>
            <w:tcW w:w="4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9"/>
        </w:trPr>
        <w:tc>
          <w:tcPr>
            <w:tcW w:w="47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Non-operating (expense) income:</w:t>
            </w: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r>
      <w:tr>
        <w:trPr>
          <w:trHeight w:val="189"/>
        </w:trPr>
        <w:tc>
          <w:tcPr>
            <w:tcW w:w="4760" w:type="dxa"/>
            <w:vAlign w:val="bottom"/>
          </w:tcPr>
          <w:p>
            <w:pPr>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(39,027)</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(42,288)</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(122,627)</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(126,404)</w:t>
            </w:r>
          </w:p>
        </w:tc>
      </w:tr>
      <w:tr>
        <w:trPr>
          <w:trHeight w:val="189"/>
        </w:trPr>
        <w:tc>
          <w:tcPr>
            <w:tcW w:w="4760" w:type="dxa"/>
            <w:vAlign w:val="bottom"/>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5,935</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7,023</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22,176</w:t>
            </w: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18,469</w:t>
            </w:r>
          </w:p>
        </w:tc>
      </w:tr>
      <w:tr>
        <w:trPr>
          <w:trHeight w:val="189"/>
        </w:trPr>
        <w:tc>
          <w:tcPr>
            <w:tcW w:w="4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non-operating items, net</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(5,104)</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(2,696)</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(7,548)</w:t>
            </w: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144,313</w:t>
            </w:r>
          </w:p>
        </w:tc>
      </w:tr>
      <w:tr>
        <w:trPr>
          <w:trHeight w:val="183"/>
        </w:trPr>
        <w:tc>
          <w:tcPr>
            <w:tcW w:w="476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b w:val="1"/>
                <w:bCs w:val="1"/>
                <w:i w:val="1"/>
                <w:iCs w:val="1"/>
                <w:color w:val="auto"/>
              </w:rPr>
              <w:t>Total</w:t>
            </w:r>
          </w:p>
        </w:tc>
        <w:tc>
          <w:tcPr>
            <w:tcW w:w="2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(38,196)</w:t>
            </w:r>
          </w:p>
        </w:tc>
        <w:tc>
          <w:tcPr>
            <w:tcW w:w="1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(37,961)</w:t>
            </w: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(107,999)</w:t>
            </w:r>
          </w:p>
        </w:tc>
        <w:tc>
          <w:tcPr>
            <w:tcW w:w="2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rPr>
              <w:t>36,378</w:t>
            </w:r>
          </w:p>
        </w:tc>
      </w:tr>
      <w:tr>
        <w:trPr>
          <w:trHeight w:val="183"/>
        </w:trPr>
        <w:tc>
          <w:tcPr>
            <w:tcW w:w="4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9"/>
        </w:trPr>
        <w:tc>
          <w:tcPr>
            <w:tcW w:w="47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Income before income taxes</w:t>
            </w: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53,924</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191,931</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215,558</w:t>
            </w: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545,690</w:t>
            </w:r>
          </w:p>
        </w:tc>
      </w:tr>
      <w:tr>
        <w:trPr>
          <w:trHeight w:val="189"/>
        </w:trPr>
        <w:tc>
          <w:tcPr>
            <w:tcW w:w="4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Provision for income taxes</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16,808</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44,743</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52,233</w:t>
            </w: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127,211</w:t>
            </w:r>
          </w:p>
        </w:tc>
      </w:tr>
      <w:tr>
        <w:trPr>
          <w:trHeight w:val="183"/>
        </w:trPr>
        <w:tc>
          <w:tcPr>
            <w:tcW w:w="476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i w:val="1"/>
                <w:iCs w:val="1"/>
                <w:color w:val="auto"/>
              </w:rPr>
              <w:t>Net income</w:t>
            </w: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rPr>
              <w:t>37,116</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rPr>
              <w:t>147,188</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rPr>
              <w:t>163,325</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rPr>
              <w:t>418,479</w:t>
            </w:r>
          </w:p>
        </w:tc>
      </w:tr>
      <w:tr>
        <w:trPr>
          <w:trHeight w:val="189"/>
        </w:trPr>
        <w:tc>
          <w:tcPr>
            <w:tcW w:w="4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loss attributable to redeemable noncontrolling interest</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260</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384</w:t>
            </w: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673</w:t>
            </w:r>
          </w:p>
        </w:tc>
      </w:tr>
      <w:tr>
        <w:trPr>
          <w:trHeight w:val="222"/>
        </w:trPr>
        <w:tc>
          <w:tcPr>
            <w:tcW w:w="476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i w:val="1"/>
                <w:iCs w:val="1"/>
                <w:color w:val="auto"/>
              </w:rPr>
              <w:t>Net income attributable to TEGNA Inc.</w:t>
            </w:r>
          </w:p>
        </w:tc>
        <w:tc>
          <w:tcPr>
            <w:tcW w:w="28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rPr>
              <w:t>37,116</w:t>
            </w:r>
          </w:p>
        </w:tc>
        <w:tc>
          <w:tcPr>
            <w:tcW w:w="42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rPr>
              <w:t>147,448</w:t>
            </w:r>
          </w:p>
        </w:tc>
        <w:tc>
          <w:tcPr>
            <w:tcW w:w="44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rPr>
              <w:t>163,709</w:t>
            </w:r>
          </w:p>
        </w:tc>
        <w:tc>
          <w:tcPr>
            <w:tcW w:w="58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b w:val="1"/>
                <w:bCs w:val="1"/>
                <w:color w:val="auto"/>
              </w:rPr>
              <w:t>$</w:t>
            </w:r>
          </w:p>
        </w:tc>
        <w:tc>
          <w:tcPr>
            <w:tcW w:w="12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rPr>
              <w:t>419,152</w:t>
            </w:r>
          </w:p>
        </w:tc>
      </w:tr>
      <w:tr>
        <w:trPr>
          <w:trHeight w:val="170"/>
        </w:trPr>
        <w:tc>
          <w:tcPr>
            <w:tcW w:w="47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r>
      <w:tr>
        <w:trPr>
          <w:trHeight w:val="189"/>
        </w:trPr>
        <w:tc>
          <w:tcPr>
            <w:tcW w:w="4760" w:type="dxa"/>
            <w:vAlign w:val="bottom"/>
            <w:shd w:val="clear" w:color="auto" w:fill="CFF0FC"/>
          </w:tcPr>
          <w:p>
            <w:pPr>
              <w:spacing w:after="0"/>
              <w:rPr>
                <w:sz w:val="20"/>
                <w:szCs w:val="20"/>
                <w:color w:val="auto"/>
              </w:rPr>
            </w:pPr>
            <w:r>
              <w:rPr>
                <w:rFonts w:ascii="Arial" w:cs="Arial" w:eastAsia="Arial" w:hAnsi="Arial"/>
                <w:sz w:val="16"/>
                <w:szCs w:val="16"/>
                <w:b w:val="1"/>
                <w:bCs w:val="1"/>
                <w:i w:val="1"/>
                <w:iCs w:val="1"/>
                <w:color w:val="auto"/>
              </w:rPr>
              <w:t>Earnings per share:</w:t>
            </w: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r>
      <w:tr>
        <w:trPr>
          <w:trHeight w:val="189"/>
        </w:trPr>
        <w:tc>
          <w:tcPr>
            <w:tcW w:w="4760" w:type="dxa"/>
            <w:vAlign w:val="bottom"/>
          </w:tcPr>
          <w:p>
            <w:pPr>
              <w:spacing w:after="0"/>
              <w:rPr>
                <w:sz w:val="20"/>
                <w:szCs w:val="20"/>
                <w:color w:val="auto"/>
              </w:rPr>
            </w:pPr>
            <w:r>
              <w:rPr>
                <w:rFonts w:ascii="Arial" w:cs="Arial" w:eastAsia="Arial" w:hAnsi="Arial"/>
                <w:sz w:val="16"/>
                <w:szCs w:val="16"/>
                <w:color w:val="auto"/>
              </w:rPr>
              <w:t>Basic</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0.23</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0.89</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2.44</w:t>
            </w:r>
          </w:p>
        </w:tc>
      </w:tr>
      <w:tr>
        <w:trPr>
          <w:trHeight w:val="189"/>
        </w:trPr>
        <w:tc>
          <w:tcPr>
            <w:tcW w:w="4760" w:type="dxa"/>
            <w:vAlign w:val="bottom"/>
            <w:shd w:val="clear" w:color="auto" w:fill="CFF0FC"/>
          </w:tcPr>
          <w:p>
            <w:pPr>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0.23</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0.89</w:t>
            </w: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1.00</w:t>
            </w: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2.44</w:t>
            </w:r>
          </w:p>
        </w:tc>
      </w:tr>
      <w:tr>
        <w:trPr>
          <w:trHeight w:val="189"/>
        </w:trPr>
        <w:tc>
          <w:tcPr>
            <w:tcW w:w="4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9"/>
        </w:trPr>
        <w:tc>
          <w:tcPr>
            <w:tcW w:w="4760" w:type="dxa"/>
            <w:vAlign w:val="bottom"/>
            <w:shd w:val="clear" w:color="auto" w:fill="CFF0FC"/>
          </w:tcPr>
          <w:p>
            <w:pPr>
              <w:spacing w:after="0"/>
              <w:rPr>
                <w:sz w:val="20"/>
                <w:szCs w:val="20"/>
                <w:color w:val="auto"/>
              </w:rPr>
            </w:pPr>
            <w:r>
              <w:rPr>
                <w:rFonts w:ascii="Arial" w:cs="Arial" w:eastAsia="Arial" w:hAnsi="Arial"/>
                <w:sz w:val="16"/>
                <w:szCs w:val="16"/>
                <w:b w:val="1"/>
                <w:bCs w:val="1"/>
                <w:i w:val="1"/>
                <w:iCs w:val="1"/>
                <w:color w:val="auto"/>
              </w:rPr>
              <w:t>Weighted average number of common shares outstanding:</w:t>
            </w: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r>
      <w:tr>
        <w:trPr>
          <w:trHeight w:val="189"/>
        </w:trPr>
        <w:tc>
          <w:tcPr>
            <w:tcW w:w="4760" w:type="dxa"/>
            <w:vAlign w:val="bottom"/>
          </w:tcPr>
          <w:p>
            <w:pPr>
              <w:spacing w:after="0"/>
              <w:rPr>
                <w:sz w:val="20"/>
                <w:szCs w:val="20"/>
                <w:color w:val="auto"/>
              </w:rPr>
            </w:pPr>
            <w:r>
              <w:rPr>
                <w:rFonts w:ascii="Arial" w:cs="Arial" w:eastAsia="Arial" w:hAnsi="Arial"/>
                <w:sz w:val="16"/>
                <w:szCs w:val="16"/>
                <w:color w:val="auto"/>
              </w:rPr>
              <w:t>Basic shares</w:t>
            </w:r>
          </w:p>
        </w:tc>
        <w:tc>
          <w:tcPr>
            <w:tcW w:w="28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161,606</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165,188</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161,312</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170,820</w:t>
            </w:r>
          </w:p>
        </w:tc>
      </w:tr>
      <w:tr>
        <w:trPr>
          <w:trHeight w:val="189"/>
        </w:trPr>
        <w:tc>
          <w:tcPr>
            <w:tcW w:w="4760" w:type="dxa"/>
            <w:vAlign w:val="bottom"/>
            <w:shd w:val="clear" w:color="auto" w:fill="CFF0FC"/>
          </w:tcPr>
          <w:p>
            <w:pPr>
              <w:spacing w:after="0"/>
              <w:rPr>
                <w:sz w:val="20"/>
                <w:szCs w:val="20"/>
                <w:color w:val="auto"/>
              </w:rPr>
            </w:pPr>
            <w:r>
              <w:rPr>
                <w:rFonts w:ascii="Arial" w:cs="Arial" w:eastAsia="Arial" w:hAnsi="Arial"/>
                <w:sz w:val="16"/>
                <w:szCs w:val="16"/>
                <w:color w:val="auto"/>
              </w:rPr>
              <w:t>Diluted shares</w:t>
            </w: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163,047</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165,748</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162,546</w:t>
            </w: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171,334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-2738120</wp:posOffset>
            </wp:positionV>
            <wp:extent cx="111125"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4904105</wp:posOffset>
            </wp:positionH>
            <wp:positionV relativeFrom="paragraph">
              <wp:posOffset>-2738120</wp:posOffset>
            </wp:positionV>
            <wp:extent cx="111125"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5941695</wp:posOffset>
            </wp:positionH>
            <wp:positionV relativeFrom="paragraph">
              <wp:posOffset>-2738120</wp:posOffset>
            </wp:positionV>
            <wp:extent cx="188595"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8595" cy="16256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-2468245</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-2468245</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-2468245</wp:posOffset>
            </wp:positionV>
            <wp:extent cx="1631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-1731010</wp:posOffset>
            </wp:positionV>
            <wp:extent cx="857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-1731010</wp:posOffset>
            </wp:positionV>
            <wp:extent cx="857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-1731010</wp:posOffset>
            </wp:positionV>
            <wp:extent cx="1631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-985520</wp:posOffset>
            </wp:positionV>
            <wp:extent cx="857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-967740</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-985520</wp:posOffset>
            </wp:positionV>
            <wp:extent cx="857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-967740</wp:posOffset>
            </wp:positionV>
            <wp:extent cx="85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-985520</wp:posOffset>
            </wp:positionV>
            <wp:extent cx="1631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-967740</wp:posOffset>
            </wp:positionV>
            <wp:extent cx="1631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130" w:lineRule="exact"/>
        <w:rPr>
          <w:sz w:val="20"/>
          <w:szCs w:val="20"/>
          <w:color w:val="auto"/>
        </w:rPr>
      </w:pPr>
    </w:p>
    <w:p>
      <w:pPr>
        <w:ind w:left="120" w:hanging="112"/>
        <w:spacing w:after="0"/>
        <w:tabs>
          <w:tab w:leader="none" w:pos="12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Cost of revenues exclude charges for depreciation and amortization expense, which are shown separately.</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TEGNA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Unaudited, in thousands of dollars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Quarter ended Sept. 30,</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Nine months ended Sept. 30,</w:t>
            </w:r>
          </w:p>
        </w:tc>
      </w:tr>
      <w:tr>
        <w:trPr>
          <w:trHeight w:val="183"/>
        </w:trPr>
        <w:tc>
          <w:tcPr>
            <w:tcW w:w="5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9"/>
              <w:spacing w:after="0" w:line="183"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79"/>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9"/>
              <w:spacing w:after="0" w:line="183" w:lineRule="exact"/>
              <w:rPr>
                <w:sz w:val="20"/>
                <w:szCs w:val="20"/>
                <w:color w:val="auto"/>
              </w:rPr>
            </w:pPr>
            <w:r>
              <w:rPr>
                <w:rFonts w:ascii="Arial" w:cs="Arial" w:eastAsia="Arial" w:hAnsi="Arial"/>
                <w:sz w:val="16"/>
                <w:szCs w:val="16"/>
                <w:b w:val="1"/>
                <w:bCs w:val="1"/>
                <w:color w:val="auto"/>
              </w:rPr>
              <w:t>2024</w:t>
            </w:r>
          </w:p>
        </w:tc>
      </w:tr>
      <w:tr>
        <w:trPr>
          <w:trHeight w:val="183"/>
        </w:trPr>
        <w:tc>
          <w:tcPr>
            <w:tcW w:w="5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9"/>
        </w:trPr>
        <w:tc>
          <w:tcPr>
            <w:tcW w:w="5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Income</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37,116</w:t>
            </w:r>
          </w:p>
        </w:tc>
        <w:tc>
          <w:tcPr>
            <w:tcW w:w="38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147,188</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163,325</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418,479</w:t>
            </w:r>
          </w:p>
        </w:tc>
      </w:tr>
      <w:tr>
        <w:trPr>
          <w:trHeight w:val="189"/>
        </w:trPr>
        <w:tc>
          <w:tcPr>
            <w:tcW w:w="5520" w:type="dxa"/>
            <w:vAlign w:val="bottom"/>
          </w:tcPr>
          <w:p>
            <w:pPr>
              <w:spacing w:after="0"/>
              <w:rPr>
                <w:sz w:val="20"/>
                <w:szCs w:val="20"/>
                <w:color w:val="auto"/>
              </w:rPr>
            </w:pPr>
            <w:r>
              <w:rPr>
                <w:rFonts w:ascii="Arial" w:cs="Arial" w:eastAsia="Arial" w:hAnsi="Arial"/>
                <w:sz w:val="16"/>
                <w:szCs w:val="16"/>
                <w:color w:val="auto"/>
              </w:rPr>
              <w:t>Other comprehensive income, before tax:</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55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Recognition of previously deferred post-retirement benefit plan costs</w:t>
            </w:r>
          </w:p>
        </w:tc>
        <w:tc>
          <w:tcPr>
            <w:tcW w:w="26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1,419</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1,498</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4,257</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4,493</w:t>
            </w:r>
          </w:p>
        </w:tc>
      </w:tr>
      <w:tr>
        <w:trPr>
          <w:trHeight w:val="189"/>
        </w:trPr>
        <w:tc>
          <w:tcPr>
            <w:tcW w:w="5520" w:type="dxa"/>
            <w:vAlign w:val="bottom"/>
          </w:tcPr>
          <w:p>
            <w:pPr>
              <w:ind w:left="160"/>
              <w:spacing w:after="0"/>
              <w:rPr>
                <w:sz w:val="20"/>
                <w:szCs w:val="20"/>
                <w:color w:val="auto"/>
              </w:rPr>
            </w:pPr>
            <w:r>
              <w:rPr>
                <w:rFonts w:ascii="Arial" w:cs="Arial" w:eastAsia="Arial" w:hAnsi="Arial"/>
                <w:sz w:val="16"/>
                <w:szCs w:val="16"/>
                <w:color w:val="auto"/>
              </w:rPr>
              <w:t>Recognition of foreign currency translation adjustments</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189"/>
        </w:trPr>
        <w:tc>
          <w:tcPr>
            <w:tcW w:w="5520" w:type="dxa"/>
            <w:vAlign w:val="bottom"/>
            <w:tcBorders>
              <w:bottom w:val="single" w:sz="8" w:color="auto"/>
            </w:tcBorders>
            <w:shd w:val="clear" w:color="auto" w:fill="CFF0FC"/>
          </w:tcPr>
          <w:p>
            <w:pPr>
              <w:ind w:left="160"/>
              <w:spacing w:after="0"/>
              <w:rPr>
                <w:sz w:val="20"/>
                <w:szCs w:val="20"/>
                <w:color w:val="auto"/>
              </w:rPr>
            </w:pPr>
            <w:r>
              <w:rPr>
                <w:rFonts w:ascii="Arial" w:cs="Arial" w:eastAsia="Arial" w:hAnsi="Arial"/>
                <w:sz w:val="16"/>
                <w:szCs w:val="16"/>
                <w:color w:val="auto"/>
              </w:rPr>
              <w:t>Income tax effect related to components of other comprehensive income</w:t>
            </w:r>
          </w:p>
        </w:tc>
        <w:tc>
          <w:tcPr>
            <w:tcW w:w="26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(363)</w:t>
            </w:r>
          </w:p>
        </w:tc>
        <w:tc>
          <w:tcPr>
            <w:tcW w:w="1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(386)</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(1,089)</w:t>
            </w:r>
          </w:p>
        </w:tc>
        <w:tc>
          <w:tcPr>
            <w:tcW w:w="1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(1,160)</w:t>
            </w:r>
          </w:p>
        </w:tc>
      </w:tr>
      <w:tr>
        <w:trPr>
          <w:trHeight w:val="183"/>
        </w:trPr>
        <w:tc>
          <w:tcPr>
            <w:tcW w:w="55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Other comprehensive income, net of tax</w:t>
            </w: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496</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1,112</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2,608</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b w:val="1"/>
                <w:bCs w:val="1"/>
                <w:color w:val="auto"/>
              </w:rPr>
              <w:t>3,333</w:t>
            </w:r>
          </w:p>
        </w:tc>
      </w:tr>
      <w:tr>
        <w:trPr>
          <w:trHeight w:val="183"/>
        </w:trPr>
        <w:tc>
          <w:tcPr>
            <w:tcW w:w="55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Comprehensive income</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rPr>
              <w:t>37,612</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rPr>
              <w:t>148,300</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rPr>
              <w:t>165,933</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b w:val="1"/>
                <w:bCs w:val="1"/>
                <w:color w:val="auto"/>
              </w:rPr>
              <w:t>421,812</w:t>
            </w:r>
          </w:p>
        </w:tc>
      </w:tr>
      <w:tr>
        <w:trPr>
          <w:trHeight w:val="189"/>
        </w:trPr>
        <w:tc>
          <w:tcPr>
            <w:tcW w:w="5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Comprehensive loss attributable to redeemable noncontrolling interest</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384</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673</w:t>
            </w:r>
          </w:p>
        </w:tc>
      </w:tr>
      <w:tr>
        <w:trPr>
          <w:trHeight w:val="203"/>
        </w:trPr>
        <w:tc>
          <w:tcPr>
            <w:tcW w:w="55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Comprehensive income attributable to TEGNA Inc.</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rPr>
              <w:t>37,612</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b w:val="1"/>
                <w:bCs w:val="1"/>
                <w:color w:val="auto"/>
                <w:w w:val="89"/>
              </w:rPr>
              <w:t>$</w:t>
            </w:r>
          </w:p>
        </w:tc>
        <w:tc>
          <w:tcPr>
            <w:tcW w:w="10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rPr>
              <w:t>148,560</w:t>
            </w:r>
          </w:p>
        </w:tc>
        <w:tc>
          <w:tcPr>
            <w:tcW w:w="28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rPr>
              <w:t>166,317</w:t>
            </w:r>
          </w:p>
        </w:tc>
        <w:tc>
          <w:tcPr>
            <w:tcW w:w="38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b w:val="1"/>
                <w:bCs w:val="1"/>
                <w:color w:val="auto"/>
              </w:rPr>
              <w:t>422,485</w:t>
            </w:r>
          </w:p>
        </w:tc>
      </w:tr>
      <w:tr>
        <w:trPr>
          <w:trHeight w:val="20"/>
        </w:trPr>
        <w:tc>
          <w:tcPr>
            <w:tcW w:w="5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-530860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-530860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-530860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TEGNA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Unaudited, in thousands of dollars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20" w:type="dxa"/>
            <w:vAlign w:val="bottom"/>
          </w:tcPr>
          <w:p>
            <w:pPr>
              <w:spacing w:after="0"/>
              <w:rPr>
                <w:sz w:val="17"/>
                <w:szCs w:val="17"/>
                <w:color w:val="auto"/>
              </w:rPr>
            </w:pPr>
          </w:p>
        </w:tc>
        <w:tc>
          <w:tcPr>
            <w:tcW w:w="29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b w:val="1"/>
                <w:bCs w:val="1"/>
                <w:color w:val="auto"/>
              </w:rPr>
              <w:t>Nine months ended Sept. 30,</w:t>
            </w:r>
          </w:p>
        </w:tc>
        <w:tc>
          <w:tcPr>
            <w:tcW w:w="760" w:type="dxa"/>
            <w:vAlign w:val="bottom"/>
            <w:tcBorders>
              <w:bottom w:val="single" w:sz="8" w:color="auto"/>
            </w:tcBorders>
          </w:tcPr>
          <w:p>
            <w:pPr>
              <w:spacing w:after="0"/>
              <w:rPr>
                <w:sz w:val="17"/>
                <w:szCs w:val="17"/>
                <w:color w:val="auto"/>
              </w:rPr>
            </w:pPr>
          </w:p>
        </w:tc>
      </w:tr>
      <w:tr>
        <w:trPr>
          <w:trHeight w:val="183"/>
        </w:trPr>
        <w:tc>
          <w:tcPr>
            <w:tcW w:w="7520" w:type="dxa"/>
            <w:vAlign w:val="bottom"/>
          </w:tcPr>
          <w:p>
            <w:pPr>
              <w:spacing w:after="0"/>
              <w:rPr>
                <w:sz w:val="15"/>
                <w:szCs w:val="15"/>
                <w:color w:val="auto"/>
              </w:rPr>
            </w:pPr>
          </w:p>
        </w:tc>
        <w:tc>
          <w:tcPr>
            <w:tcW w:w="10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740" w:type="dxa"/>
            <w:vAlign w:val="bottom"/>
          </w:tcPr>
          <w:p>
            <w:pPr>
              <w:spacing w:after="0"/>
              <w:rPr>
                <w:sz w:val="15"/>
                <w:szCs w:val="15"/>
                <w:color w:val="auto"/>
              </w:rPr>
            </w:pPr>
          </w:p>
        </w:tc>
        <w:tc>
          <w:tcPr>
            <w:tcW w:w="118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2024</w:t>
            </w:r>
          </w:p>
        </w:tc>
        <w:tc>
          <w:tcPr>
            <w:tcW w:w="760" w:type="dxa"/>
            <w:vAlign w:val="bottom"/>
          </w:tcPr>
          <w:p>
            <w:pPr>
              <w:spacing w:after="0"/>
              <w:rPr>
                <w:sz w:val="15"/>
                <w:szCs w:val="15"/>
                <w:color w:val="auto"/>
              </w:rPr>
            </w:pPr>
          </w:p>
        </w:tc>
      </w:tr>
      <w:tr>
        <w:trPr>
          <w:trHeight w:val="183"/>
        </w:trPr>
        <w:tc>
          <w:tcPr>
            <w:tcW w:w="7520" w:type="dxa"/>
            <w:vAlign w:val="bottom"/>
            <w:shd w:val="clear" w:color="auto" w:fill="CFF0FC"/>
          </w:tcPr>
          <w:p>
            <w:pPr>
              <w:spacing w:after="0" w:line="183" w:lineRule="exact"/>
              <w:rPr>
                <w:sz w:val="20"/>
                <w:szCs w:val="20"/>
                <w:color w:val="auto"/>
              </w:rPr>
            </w:pPr>
            <w:r>
              <w:rPr>
                <w:rFonts w:ascii="Arial" w:cs="Arial" w:eastAsia="Arial" w:hAnsi="Arial"/>
                <w:sz w:val="16"/>
                <w:szCs w:val="16"/>
                <w:i w:val="1"/>
                <w:iCs w:val="1"/>
                <w:color w:val="auto"/>
              </w:rPr>
              <w:t>Cash flows from operating activities:</w:t>
            </w:r>
          </w:p>
        </w:tc>
        <w:tc>
          <w:tcPr>
            <w:tcW w:w="104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r>
      <w:tr>
        <w:trPr>
          <w:trHeight w:val="189"/>
        </w:trPr>
        <w:tc>
          <w:tcPr>
            <w:tcW w:w="752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040" w:type="dxa"/>
            <w:vAlign w:val="bottom"/>
          </w:tcPr>
          <w:p>
            <w:pPr>
              <w:jc w:val="right"/>
              <w:ind w:right="881"/>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163,325</w:t>
            </w:r>
          </w:p>
        </w:tc>
        <w:tc>
          <w:tcPr>
            <w:tcW w:w="1180" w:type="dxa"/>
            <w:vAlign w:val="bottom"/>
            <w:gridSpan w:val="2"/>
          </w:tcPr>
          <w:p>
            <w:pPr>
              <w:jc w:val="right"/>
              <w:ind w:right="9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418,479</w:t>
            </w:r>
          </w:p>
        </w:tc>
      </w:tr>
      <w:tr>
        <w:trPr>
          <w:trHeight w:val="189"/>
        </w:trPr>
        <w:tc>
          <w:tcPr>
            <w:tcW w:w="75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Adjustments to reconcile net income to net cash flow from operating activities:</w:t>
            </w:r>
          </w:p>
        </w:tc>
        <w:tc>
          <w:tcPr>
            <w:tcW w:w="10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r>
      <w:tr>
        <w:trPr>
          <w:trHeight w:val="189"/>
        </w:trPr>
        <w:tc>
          <w:tcPr>
            <w:tcW w:w="752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1040" w:type="dxa"/>
            <w:vAlign w:val="bottom"/>
          </w:tcPr>
          <w:p>
            <w:pPr>
              <w:spacing w:after="0"/>
              <w:rPr>
                <w:sz w:val="16"/>
                <w:szCs w:val="16"/>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72,788</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85,816</w:t>
            </w:r>
          </w:p>
        </w:tc>
      </w:tr>
      <w:tr>
        <w:trPr>
          <w:trHeight w:val="189"/>
        </w:trPr>
        <w:tc>
          <w:tcPr>
            <w:tcW w:w="75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Employee stock-based compensation awards</w:t>
            </w:r>
          </w:p>
        </w:tc>
        <w:tc>
          <w:tcPr>
            <w:tcW w:w="10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20,530</w:t>
            </w: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30,660</w:t>
            </w:r>
          </w:p>
        </w:tc>
      </w:tr>
      <w:tr>
        <w:trPr>
          <w:trHeight w:val="189"/>
        </w:trPr>
        <w:tc>
          <w:tcPr>
            <w:tcW w:w="7520" w:type="dxa"/>
            <w:vAlign w:val="bottom"/>
          </w:tcPr>
          <w:p>
            <w:pPr>
              <w:ind w:left="280"/>
              <w:spacing w:after="0"/>
              <w:rPr>
                <w:sz w:val="20"/>
                <w:szCs w:val="20"/>
                <w:color w:val="auto"/>
              </w:rPr>
            </w:pPr>
            <w:r>
              <w:rPr>
                <w:rFonts w:ascii="Arial" w:cs="Arial" w:eastAsia="Arial" w:hAnsi="Arial"/>
                <w:sz w:val="16"/>
                <w:szCs w:val="16"/>
                <w:color w:val="auto"/>
              </w:rPr>
              <w:t>Company stock 401(k) match contributions</w:t>
            </w:r>
          </w:p>
        </w:tc>
        <w:tc>
          <w:tcPr>
            <w:tcW w:w="1040" w:type="dxa"/>
            <w:vAlign w:val="bottom"/>
          </w:tcPr>
          <w:p>
            <w:pPr>
              <w:spacing w:after="0"/>
              <w:rPr>
                <w:sz w:val="16"/>
                <w:szCs w:val="16"/>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12,673</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14,251</w:t>
            </w:r>
          </w:p>
        </w:tc>
      </w:tr>
      <w:tr>
        <w:trPr>
          <w:trHeight w:val="189"/>
        </w:trPr>
        <w:tc>
          <w:tcPr>
            <w:tcW w:w="75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Gain on investment sales</w:t>
            </w:r>
          </w:p>
        </w:tc>
        <w:tc>
          <w:tcPr>
            <w:tcW w:w="10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(153,626)</w:t>
            </w:r>
          </w:p>
        </w:tc>
      </w:tr>
      <w:tr>
        <w:trPr>
          <w:trHeight w:val="189"/>
        </w:trPr>
        <w:tc>
          <w:tcPr>
            <w:tcW w:w="7520" w:type="dxa"/>
            <w:vAlign w:val="bottom"/>
          </w:tcPr>
          <w:p>
            <w:pPr>
              <w:ind w:left="280"/>
              <w:spacing w:after="0"/>
              <w:rPr>
                <w:sz w:val="20"/>
                <w:szCs w:val="20"/>
                <w:color w:val="auto"/>
              </w:rPr>
            </w:pPr>
            <w:r>
              <w:rPr>
                <w:rFonts w:ascii="Arial" w:cs="Arial" w:eastAsia="Arial" w:hAnsi="Arial"/>
                <w:sz w:val="16"/>
                <w:szCs w:val="16"/>
                <w:color w:val="auto"/>
              </w:rPr>
              <w:t>Pension expense, net of employer contributions</w:t>
            </w:r>
          </w:p>
        </w:tc>
        <w:tc>
          <w:tcPr>
            <w:tcW w:w="1040" w:type="dxa"/>
            <w:vAlign w:val="bottom"/>
          </w:tcPr>
          <w:p>
            <w:pPr>
              <w:spacing w:after="0"/>
              <w:rPr>
                <w:sz w:val="16"/>
                <w:szCs w:val="16"/>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828</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(1,530)</w:t>
            </w:r>
          </w:p>
        </w:tc>
      </w:tr>
      <w:tr>
        <w:trPr>
          <w:trHeight w:val="189"/>
        </w:trPr>
        <w:tc>
          <w:tcPr>
            <w:tcW w:w="75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Change in operating assets and liabilities, net of acquisitions:</w:t>
            </w:r>
          </w:p>
        </w:tc>
        <w:tc>
          <w:tcPr>
            <w:tcW w:w="10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r>
      <w:tr>
        <w:trPr>
          <w:trHeight w:val="189"/>
        </w:trPr>
        <w:tc>
          <w:tcPr>
            <w:tcW w:w="7520" w:type="dxa"/>
            <w:vAlign w:val="bottom"/>
          </w:tcPr>
          <w:p>
            <w:pPr>
              <w:ind w:left="280"/>
              <w:spacing w:after="0"/>
              <w:rPr>
                <w:sz w:val="20"/>
                <w:szCs w:val="20"/>
                <w:color w:val="auto"/>
              </w:rPr>
            </w:pPr>
            <w:r>
              <w:rPr>
                <w:rFonts w:ascii="Arial" w:cs="Arial" w:eastAsia="Arial" w:hAnsi="Arial"/>
                <w:sz w:val="16"/>
                <w:szCs w:val="16"/>
                <w:color w:val="auto"/>
              </w:rPr>
              <w:t>Decrease in trade receivables</w:t>
            </w:r>
          </w:p>
        </w:tc>
        <w:tc>
          <w:tcPr>
            <w:tcW w:w="1040" w:type="dxa"/>
            <w:vAlign w:val="bottom"/>
          </w:tcPr>
          <w:p>
            <w:pPr>
              <w:spacing w:after="0"/>
              <w:rPr>
                <w:sz w:val="16"/>
                <w:szCs w:val="16"/>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26,119</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16,931</w:t>
            </w:r>
          </w:p>
        </w:tc>
      </w:tr>
      <w:tr>
        <w:trPr>
          <w:trHeight w:val="189"/>
        </w:trPr>
        <w:tc>
          <w:tcPr>
            <w:tcW w:w="75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Decrease in accounts payable</w:t>
            </w:r>
          </w:p>
        </w:tc>
        <w:tc>
          <w:tcPr>
            <w:tcW w:w="10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(3,721)</w:t>
            </w: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(22,987)</w:t>
            </w:r>
          </w:p>
        </w:tc>
      </w:tr>
      <w:tr>
        <w:trPr>
          <w:trHeight w:val="189"/>
        </w:trPr>
        <w:tc>
          <w:tcPr>
            <w:tcW w:w="7520" w:type="dxa"/>
            <w:vAlign w:val="bottom"/>
          </w:tcPr>
          <w:p>
            <w:pPr>
              <w:ind w:left="280"/>
              <w:spacing w:after="0"/>
              <w:rPr>
                <w:sz w:val="20"/>
                <w:szCs w:val="20"/>
                <w:color w:val="auto"/>
              </w:rPr>
            </w:pPr>
            <w:r>
              <w:rPr>
                <w:rFonts w:ascii="Arial" w:cs="Arial" w:eastAsia="Arial" w:hAnsi="Arial"/>
                <w:sz w:val="16"/>
                <w:szCs w:val="16"/>
                <w:color w:val="auto"/>
              </w:rPr>
              <w:t>(Decrease) increase in interest and taxes payable</w:t>
            </w:r>
          </w:p>
        </w:tc>
        <w:tc>
          <w:tcPr>
            <w:tcW w:w="10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(91,643)</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13,766</w:t>
            </w:r>
          </w:p>
        </w:tc>
      </w:tr>
      <w:tr>
        <w:trPr>
          <w:trHeight w:val="189"/>
        </w:trPr>
        <w:tc>
          <w:tcPr>
            <w:tcW w:w="75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Increase in deferred revenue</w:t>
            </w:r>
          </w:p>
        </w:tc>
        <w:tc>
          <w:tcPr>
            <w:tcW w:w="10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2,332</w:t>
            </w: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10,734</w:t>
            </w:r>
          </w:p>
        </w:tc>
      </w:tr>
      <w:tr>
        <w:trPr>
          <w:trHeight w:val="189"/>
        </w:trPr>
        <w:tc>
          <w:tcPr>
            <w:tcW w:w="7520" w:type="dxa"/>
            <w:vAlign w:val="bottom"/>
          </w:tcPr>
          <w:p>
            <w:pPr>
              <w:ind w:left="280"/>
              <w:spacing w:after="0"/>
              <w:rPr>
                <w:sz w:val="20"/>
                <w:szCs w:val="20"/>
                <w:color w:val="auto"/>
              </w:rPr>
            </w:pPr>
            <w:r>
              <w:rPr>
                <w:rFonts w:ascii="Arial" w:cs="Arial" w:eastAsia="Arial" w:hAnsi="Arial"/>
                <w:sz w:val="16"/>
                <w:szCs w:val="16"/>
                <w:color w:val="auto"/>
              </w:rPr>
              <w:t>Changes in other assets and liabilities, net</w:t>
            </w:r>
          </w:p>
        </w:tc>
        <w:tc>
          <w:tcPr>
            <w:tcW w:w="1040" w:type="dxa"/>
            <w:vAlign w:val="bottom"/>
          </w:tcPr>
          <w:p>
            <w:pPr>
              <w:spacing w:after="0"/>
              <w:rPr>
                <w:sz w:val="16"/>
                <w:szCs w:val="16"/>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15,394</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22,722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0</wp:posOffset>
            </wp:positionV>
            <wp:extent cx="11226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tbl>
      <w:tblPr>
        <w:tblLayout w:type="fixed"/>
        <w:tblInd w:w="0" w:type="dxa"/>
        <w:tblCellMar>
          <w:top w:w="0" w:type="dxa"/>
          <w:left w:w="0" w:type="dxa"/>
          <w:bottom w:w="0" w:type="dxa"/>
          <w:right w:w="0" w:type="dxa"/>
        </w:tblCellMar>
      </w:tblPr>
      <w:tr>
        <w:trPr>
          <w:trHeight w:val="183"/>
        </w:trPr>
        <w:tc>
          <w:tcPr>
            <w:tcW w:w="7720" w:type="dxa"/>
            <w:vAlign w:val="bottom"/>
            <w:tcBorders>
              <w:top w:val="single" w:sz="8" w:color="auto"/>
              <w:bottom w:val="single" w:sz="8" w:color="auto"/>
            </w:tcBorders>
          </w:tcPr>
          <w:p>
            <w:pPr>
              <w:ind w:left="140"/>
              <w:spacing w:after="0" w:line="183" w:lineRule="exact"/>
              <w:rPr>
                <w:sz w:val="20"/>
                <w:szCs w:val="20"/>
                <w:color w:val="auto"/>
              </w:rPr>
            </w:pPr>
            <w:r>
              <w:rPr>
                <w:rFonts w:ascii="Arial" w:cs="Arial" w:eastAsia="Arial" w:hAnsi="Arial"/>
                <w:sz w:val="16"/>
                <w:szCs w:val="16"/>
                <w:b w:val="1"/>
                <w:bCs w:val="1"/>
                <w:color w:val="auto"/>
              </w:rPr>
              <w:t>Net cash flow from operating activities</w:t>
            </w:r>
          </w:p>
        </w:tc>
        <w:tc>
          <w:tcPr>
            <w:tcW w:w="1580" w:type="dxa"/>
            <w:vAlign w:val="bottom"/>
            <w:tcBorders>
              <w:top w:val="single" w:sz="8" w:color="auto"/>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218,625</w:t>
            </w:r>
          </w:p>
        </w:tc>
      </w:tr>
      <w:tr>
        <w:trPr>
          <w:trHeight w:val="168"/>
        </w:trPr>
        <w:tc>
          <w:tcPr>
            <w:tcW w:w="7720" w:type="dxa"/>
            <w:vAlign w:val="bottom"/>
          </w:tcPr>
          <w:p>
            <w:pPr>
              <w:spacing w:after="0" w:line="168" w:lineRule="exact"/>
              <w:rPr>
                <w:sz w:val="20"/>
                <w:szCs w:val="20"/>
                <w:color w:val="auto"/>
              </w:rPr>
            </w:pPr>
            <w:r>
              <w:rPr>
                <w:rFonts w:ascii="Arial" w:cs="Arial" w:eastAsia="Arial" w:hAnsi="Arial"/>
                <w:sz w:val="16"/>
                <w:szCs w:val="16"/>
                <w:i w:val="1"/>
                <w:iCs w:val="1"/>
                <w:color w:val="auto"/>
              </w:rPr>
              <w:t>Cash flows from investing activities:</w:t>
            </w:r>
          </w:p>
        </w:tc>
        <w:tc>
          <w:tcPr>
            <w:tcW w:w="1580" w:type="dxa"/>
            <w:vAlign w:val="bottom"/>
          </w:tcPr>
          <w:p>
            <w:pPr>
              <w:spacing w:after="0"/>
              <w:rPr>
                <w:sz w:val="14"/>
                <w:szCs w:val="14"/>
                <w:color w:val="auto"/>
              </w:rPr>
            </w:pPr>
          </w:p>
        </w:tc>
      </w:tr>
      <w:tr>
        <w:trPr>
          <w:trHeight w:val="189"/>
        </w:trPr>
        <w:tc>
          <w:tcPr>
            <w:tcW w:w="7720" w:type="dxa"/>
            <w:vAlign w:val="bottom"/>
          </w:tcPr>
          <w:p>
            <w:pPr>
              <w:ind w:left="280"/>
              <w:spacing w:after="0"/>
              <w:rPr>
                <w:sz w:val="20"/>
                <w:szCs w:val="20"/>
                <w:color w:val="auto"/>
              </w:rPr>
            </w:pPr>
            <w:r>
              <w:rPr>
                <w:rFonts w:ascii="Arial" w:cs="Arial" w:eastAsia="Arial" w:hAnsi="Arial"/>
                <w:sz w:val="16"/>
                <w:szCs w:val="16"/>
                <w:color w:val="auto"/>
              </w:rPr>
              <w:t>Purchase of property and equipment</w:t>
            </w:r>
          </w:p>
        </w:tc>
        <w:tc>
          <w:tcPr>
            <w:tcW w:w="1580" w:type="dxa"/>
            <w:vAlign w:val="bottom"/>
          </w:tcPr>
          <w:p>
            <w:pPr>
              <w:jc w:val="right"/>
              <w:spacing w:after="0"/>
              <w:rPr>
                <w:sz w:val="20"/>
                <w:szCs w:val="20"/>
                <w:color w:val="auto"/>
              </w:rPr>
            </w:pPr>
            <w:r>
              <w:rPr>
                <w:rFonts w:ascii="Arial" w:cs="Arial" w:eastAsia="Arial" w:hAnsi="Arial"/>
                <w:sz w:val="16"/>
                <w:szCs w:val="16"/>
                <w:color w:val="auto"/>
              </w:rPr>
              <w:t>(22,810)</w:t>
            </w:r>
          </w:p>
        </w:tc>
      </w:tr>
      <w:tr>
        <w:trPr>
          <w:trHeight w:val="189"/>
        </w:trPr>
        <w:tc>
          <w:tcPr>
            <w:tcW w:w="7720" w:type="dxa"/>
            <w:vAlign w:val="bottom"/>
          </w:tcPr>
          <w:p>
            <w:pPr>
              <w:ind w:left="280"/>
              <w:spacing w:after="0"/>
              <w:rPr>
                <w:sz w:val="20"/>
                <w:szCs w:val="20"/>
                <w:color w:val="auto"/>
              </w:rPr>
            </w:pPr>
            <w:r>
              <w:rPr>
                <w:rFonts w:ascii="Arial" w:cs="Arial" w:eastAsia="Arial" w:hAnsi="Arial"/>
                <w:sz w:val="16"/>
                <w:szCs w:val="16"/>
                <w:color w:val="auto"/>
              </w:rPr>
              <w:t>Payments for acquisitions of businesses and assets, net of cash acquired</w:t>
            </w:r>
          </w:p>
        </w:tc>
        <w:tc>
          <w:tcPr>
            <w:tcW w:w="1580" w:type="dxa"/>
            <w:vAlign w:val="bottom"/>
          </w:tcPr>
          <w:p>
            <w:pPr>
              <w:jc w:val="right"/>
              <w:spacing w:after="0"/>
              <w:rPr>
                <w:sz w:val="20"/>
                <w:szCs w:val="20"/>
                <w:color w:val="auto"/>
              </w:rPr>
            </w:pPr>
            <w:r>
              <w:rPr>
                <w:rFonts w:ascii="Arial" w:cs="Arial" w:eastAsia="Arial" w:hAnsi="Arial"/>
                <w:sz w:val="16"/>
                <w:szCs w:val="16"/>
                <w:color w:val="auto"/>
              </w:rPr>
              <w:t>(1,745)</w:t>
            </w:r>
          </w:p>
        </w:tc>
      </w:tr>
      <w:tr>
        <w:trPr>
          <w:trHeight w:val="189"/>
        </w:trPr>
        <w:tc>
          <w:tcPr>
            <w:tcW w:w="7720" w:type="dxa"/>
            <w:vAlign w:val="bottom"/>
          </w:tcPr>
          <w:p>
            <w:pPr>
              <w:ind w:left="280"/>
              <w:spacing w:after="0"/>
              <w:rPr>
                <w:sz w:val="20"/>
                <w:szCs w:val="20"/>
                <w:color w:val="auto"/>
              </w:rPr>
            </w:pPr>
            <w:r>
              <w:rPr>
                <w:rFonts w:ascii="Arial" w:cs="Arial" w:eastAsia="Arial" w:hAnsi="Arial"/>
                <w:sz w:val="16"/>
                <w:szCs w:val="16"/>
                <w:color w:val="auto"/>
              </w:rPr>
              <w:t>Payments for investments</w:t>
            </w:r>
          </w:p>
        </w:tc>
        <w:tc>
          <w:tcPr>
            <w:tcW w:w="1580" w:type="dxa"/>
            <w:vAlign w:val="bottom"/>
          </w:tcPr>
          <w:p>
            <w:pPr>
              <w:jc w:val="right"/>
              <w:spacing w:after="0"/>
              <w:rPr>
                <w:sz w:val="20"/>
                <w:szCs w:val="20"/>
                <w:color w:val="auto"/>
              </w:rPr>
            </w:pPr>
            <w:r>
              <w:rPr>
                <w:rFonts w:ascii="Arial" w:cs="Arial" w:eastAsia="Arial" w:hAnsi="Arial"/>
                <w:sz w:val="16"/>
                <w:szCs w:val="16"/>
                <w:color w:val="auto"/>
              </w:rPr>
              <w:t>(2,974)</w:t>
            </w:r>
          </w:p>
        </w:tc>
      </w:tr>
      <w:tr>
        <w:trPr>
          <w:trHeight w:val="189"/>
        </w:trPr>
        <w:tc>
          <w:tcPr>
            <w:tcW w:w="7720" w:type="dxa"/>
            <w:vAlign w:val="bottom"/>
          </w:tcPr>
          <w:p>
            <w:pPr>
              <w:ind w:left="280"/>
              <w:spacing w:after="0"/>
              <w:rPr>
                <w:sz w:val="20"/>
                <w:szCs w:val="20"/>
                <w:color w:val="auto"/>
              </w:rPr>
            </w:pPr>
            <w:r>
              <w:rPr>
                <w:rFonts w:ascii="Arial" w:cs="Arial" w:eastAsia="Arial" w:hAnsi="Arial"/>
                <w:sz w:val="16"/>
                <w:szCs w:val="16"/>
                <w:color w:val="auto"/>
              </w:rPr>
              <w:t>Proceeds from investments</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2,149</w:t>
            </w:r>
          </w:p>
        </w:tc>
      </w:tr>
      <w:tr>
        <w:trPr>
          <w:trHeight w:val="203"/>
        </w:trPr>
        <w:tc>
          <w:tcPr>
            <w:tcW w:w="772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Proceeds from sale of assets</w:t>
            </w: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673</w:t>
            </w:r>
          </w:p>
        </w:tc>
      </w:tr>
      <w:tr>
        <w:trPr>
          <w:trHeight w:val="183"/>
        </w:trPr>
        <w:tc>
          <w:tcPr>
            <w:tcW w:w="7720" w:type="dxa"/>
            <w:vAlign w:val="bottom"/>
            <w:tcBorders>
              <w:bottom w:val="single" w:sz="8" w:color="auto"/>
            </w:tcBorders>
          </w:tcPr>
          <w:p>
            <w:pPr>
              <w:ind w:left="140"/>
              <w:spacing w:after="0" w:line="183" w:lineRule="exact"/>
              <w:rPr>
                <w:sz w:val="20"/>
                <w:szCs w:val="20"/>
                <w:color w:val="auto"/>
              </w:rPr>
            </w:pPr>
            <w:r>
              <w:rPr>
                <w:rFonts w:ascii="Arial" w:cs="Arial" w:eastAsia="Arial" w:hAnsi="Arial"/>
                <w:sz w:val="16"/>
                <w:szCs w:val="16"/>
                <w:b w:val="1"/>
                <w:bCs w:val="1"/>
                <w:color w:val="auto"/>
              </w:rPr>
              <w:t>Net cash flow (used for) provided by investing activities</w:t>
            </w:r>
          </w:p>
        </w:tc>
        <w:tc>
          <w:tcPr>
            <w:tcW w:w="15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(24,707)</w:t>
            </w:r>
          </w:p>
        </w:tc>
      </w:tr>
      <w:tr>
        <w:trPr>
          <w:trHeight w:val="168"/>
        </w:trPr>
        <w:tc>
          <w:tcPr>
            <w:tcW w:w="7720" w:type="dxa"/>
            <w:vAlign w:val="bottom"/>
          </w:tcPr>
          <w:p>
            <w:pPr>
              <w:spacing w:after="0" w:line="168" w:lineRule="exact"/>
              <w:rPr>
                <w:sz w:val="20"/>
                <w:szCs w:val="20"/>
                <w:color w:val="auto"/>
              </w:rPr>
            </w:pPr>
            <w:r>
              <w:rPr>
                <w:rFonts w:ascii="Arial" w:cs="Arial" w:eastAsia="Arial" w:hAnsi="Arial"/>
                <w:sz w:val="16"/>
                <w:szCs w:val="16"/>
                <w:i w:val="1"/>
                <w:iCs w:val="1"/>
                <w:color w:val="auto"/>
              </w:rPr>
              <w:t>Cash flows from financing activities:</w:t>
            </w:r>
          </w:p>
        </w:tc>
        <w:tc>
          <w:tcPr>
            <w:tcW w:w="1580" w:type="dxa"/>
            <w:vAlign w:val="bottom"/>
          </w:tcPr>
          <w:p>
            <w:pPr>
              <w:spacing w:after="0"/>
              <w:rPr>
                <w:sz w:val="14"/>
                <w:szCs w:val="14"/>
                <w:color w:val="auto"/>
              </w:rPr>
            </w:pPr>
          </w:p>
        </w:tc>
      </w:tr>
      <w:tr>
        <w:trPr>
          <w:trHeight w:val="189"/>
        </w:trPr>
        <w:tc>
          <w:tcPr>
            <w:tcW w:w="7720" w:type="dxa"/>
            <w:vAlign w:val="bottom"/>
          </w:tcPr>
          <w:p>
            <w:pPr>
              <w:ind w:left="280"/>
              <w:spacing w:after="0"/>
              <w:rPr>
                <w:sz w:val="20"/>
                <w:szCs w:val="20"/>
                <w:color w:val="auto"/>
              </w:rPr>
            </w:pPr>
            <w:r>
              <w:rPr>
                <w:rFonts w:ascii="Arial" w:cs="Arial" w:eastAsia="Arial" w:hAnsi="Arial"/>
                <w:sz w:val="16"/>
                <w:szCs w:val="16"/>
                <w:color w:val="auto"/>
              </w:rPr>
              <w:t>Debt repayment</w:t>
            </w:r>
          </w:p>
        </w:tc>
        <w:tc>
          <w:tcPr>
            <w:tcW w:w="1580" w:type="dxa"/>
            <w:vAlign w:val="bottom"/>
          </w:tcPr>
          <w:p>
            <w:pPr>
              <w:jc w:val="right"/>
              <w:spacing w:after="0"/>
              <w:rPr>
                <w:sz w:val="20"/>
                <w:szCs w:val="20"/>
                <w:color w:val="auto"/>
              </w:rPr>
            </w:pPr>
            <w:r>
              <w:rPr>
                <w:rFonts w:ascii="Arial" w:cs="Arial" w:eastAsia="Arial" w:hAnsi="Arial"/>
                <w:sz w:val="16"/>
                <w:szCs w:val="16"/>
                <w:color w:val="auto"/>
              </w:rPr>
              <w:t>(550,000)</w:t>
            </w:r>
          </w:p>
        </w:tc>
      </w:tr>
      <w:tr>
        <w:trPr>
          <w:trHeight w:val="189"/>
        </w:trPr>
        <w:tc>
          <w:tcPr>
            <w:tcW w:w="7720" w:type="dxa"/>
            <w:vAlign w:val="bottom"/>
          </w:tcPr>
          <w:p>
            <w:pPr>
              <w:ind w:left="280"/>
              <w:spacing w:after="0"/>
              <w:rPr>
                <w:sz w:val="20"/>
                <w:szCs w:val="20"/>
                <w:color w:val="auto"/>
              </w:rPr>
            </w:pPr>
            <w:r>
              <w:rPr>
                <w:rFonts w:ascii="Arial" w:cs="Arial" w:eastAsia="Arial" w:hAnsi="Arial"/>
                <w:sz w:val="16"/>
                <w:szCs w:val="16"/>
                <w:color w:val="auto"/>
              </w:rPr>
              <w:t>Repurchase of common stock</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7720" w:type="dxa"/>
            <w:vAlign w:val="bottom"/>
          </w:tcPr>
          <w:p>
            <w:pPr>
              <w:ind w:left="280"/>
              <w:spacing w:after="0"/>
              <w:rPr>
                <w:sz w:val="20"/>
                <w:szCs w:val="20"/>
                <w:color w:val="auto"/>
              </w:rPr>
            </w:pPr>
            <w:r>
              <w:rPr>
                <w:rFonts w:ascii="Arial" w:cs="Arial" w:eastAsia="Arial" w:hAnsi="Arial"/>
                <w:sz w:val="16"/>
                <w:szCs w:val="16"/>
                <w:color w:val="auto"/>
              </w:rPr>
              <w:t>Dividends paid</w:t>
            </w:r>
          </w:p>
        </w:tc>
        <w:tc>
          <w:tcPr>
            <w:tcW w:w="1580" w:type="dxa"/>
            <w:vAlign w:val="bottom"/>
          </w:tcPr>
          <w:p>
            <w:pPr>
              <w:jc w:val="right"/>
              <w:spacing w:after="0"/>
              <w:rPr>
                <w:sz w:val="20"/>
                <w:szCs w:val="20"/>
                <w:color w:val="auto"/>
              </w:rPr>
            </w:pPr>
            <w:r>
              <w:rPr>
                <w:rFonts w:ascii="Arial" w:cs="Arial" w:eastAsia="Arial" w:hAnsi="Arial"/>
                <w:sz w:val="16"/>
                <w:szCs w:val="16"/>
                <w:color w:val="auto"/>
              </w:rPr>
              <w:t>(60,326)</w:t>
            </w:r>
          </w:p>
        </w:tc>
      </w:tr>
      <w:tr>
        <w:trPr>
          <w:trHeight w:val="189"/>
        </w:trPr>
        <w:tc>
          <w:tcPr>
            <w:tcW w:w="7720" w:type="dxa"/>
            <w:vAlign w:val="bottom"/>
          </w:tcPr>
          <w:p>
            <w:pPr>
              <w:ind w:left="280"/>
              <w:spacing w:after="0"/>
              <w:rPr>
                <w:sz w:val="20"/>
                <w:szCs w:val="20"/>
                <w:color w:val="auto"/>
              </w:rPr>
            </w:pPr>
            <w:r>
              <w:rPr>
                <w:rFonts w:ascii="Arial" w:cs="Arial" w:eastAsia="Arial" w:hAnsi="Arial"/>
                <w:sz w:val="16"/>
                <w:szCs w:val="16"/>
                <w:color w:val="auto"/>
              </w:rPr>
              <w:t>Payments for debt issuance costs</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7720" w:type="dxa"/>
            <w:vAlign w:val="bottom"/>
          </w:tcPr>
          <w:p>
            <w:pPr>
              <w:ind w:left="280"/>
              <w:spacing w:after="0"/>
              <w:rPr>
                <w:sz w:val="20"/>
                <w:szCs w:val="20"/>
                <w:color w:val="auto"/>
              </w:rPr>
            </w:pPr>
            <w:r>
              <w:rPr>
                <w:rFonts w:ascii="Arial" w:cs="Arial" w:eastAsia="Arial" w:hAnsi="Arial"/>
                <w:sz w:val="16"/>
                <w:szCs w:val="16"/>
                <w:color w:val="auto"/>
              </w:rPr>
              <w:t>Payment for acquisition-related earnout consideration</w:t>
            </w:r>
          </w:p>
        </w:tc>
        <w:tc>
          <w:tcPr>
            <w:tcW w:w="1580" w:type="dxa"/>
            <w:vAlign w:val="bottom"/>
          </w:tcPr>
          <w:p>
            <w:pPr>
              <w:jc w:val="right"/>
              <w:spacing w:after="0"/>
              <w:rPr>
                <w:sz w:val="20"/>
                <w:szCs w:val="20"/>
                <w:color w:val="auto"/>
              </w:rPr>
            </w:pPr>
            <w:r>
              <w:rPr>
                <w:rFonts w:ascii="Arial" w:cs="Arial" w:eastAsia="Arial" w:hAnsi="Arial"/>
                <w:sz w:val="16"/>
                <w:szCs w:val="16"/>
                <w:color w:val="auto"/>
              </w:rPr>
              <w:t>(6,364)</w:t>
            </w:r>
          </w:p>
        </w:tc>
      </w:tr>
      <w:tr>
        <w:trPr>
          <w:trHeight w:val="189"/>
        </w:trPr>
        <w:tc>
          <w:tcPr>
            <w:tcW w:w="7720" w:type="dxa"/>
            <w:vAlign w:val="bottom"/>
          </w:tcPr>
          <w:p>
            <w:pPr>
              <w:ind w:left="280"/>
              <w:spacing w:after="0"/>
              <w:rPr>
                <w:sz w:val="20"/>
                <w:szCs w:val="20"/>
                <w:color w:val="auto"/>
              </w:rPr>
            </w:pPr>
            <w:r>
              <w:rPr>
                <w:rFonts w:ascii="Arial" w:cs="Arial" w:eastAsia="Arial" w:hAnsi="Arial"/>
                <w:sz w:val="16"/>
                <w:szCs w:val="16"/>
                <w:color w:val="auto"/>
              </w:rPr>
              <w:t>Repurchase of noncontrolling interest in Premion</w:t>
            </w:r>
          </w:p>
        </w:tc>
        <w:tc>
          <w:tcPr>
            <w:tcW w:w="1580" w:type="dxa"/>
            <w:vAlign w:val="bottom"/>
          </w:tcPr>
          <w:p>
            <w:pPr>
              <w:jc w:val="right"/>
              <w:spacing w:after="0"/>
              <w:rPr>
                <w:sz w:val="20"/>
                <w:szCs w:val="20"/>
                <w:color w:val="auto"/>
              </w:rPr>
            </w:pPr>
            <w:r>
              <w:rPr>
                <w:rFonts w:ascii="Arial" w:cs="Arial" w:eastAsia="Arial" w:hAnsi="Arial"/>
                <w:sz w:val="16"/>
                <w:szCs w:val="16"/>
                <w:color w:val="auto"/>
              </w:rPr>
              <w:t>(20,845)</w:t>
            </w:r>
          </w:p>
        </w:tc>
      </w:tr>
      <w:tr>
        <w:trPr>
          <w:trHeight w:val="189"/>
        </w:trPr>
        <w:tc>
          <w:tcPr>
            <w:tcW w:w="7720" w:type="dxa"/>
            <w:vAlign w:val="bottom"/>
          </w:tcPr>
          <w:p>
            <w:pPr>
              <w:ind w:left="280"/>
              <w:spacing w:after="0"/>
              <w:rPr>
                <w:sz w:val="20"/>
                <w:szCs w:val="20"/>
                <w:color w:val="auto"/>
              </w:rPr>
            </w:pPr>
            <w:r>
              <w:rPr>
                <w:rFonts w:ascii="Arial" w:cs="Arial" w:eastAsia="Arial" w:hAnsi="Arial"/>
                <w:sz w:val="16"/>
                <w:szCs w:val="16"/>
                <w:color w:val="auto"/>
              </w:rPr>
              <w:t>Payments for tax withholding related to vested stock-based compensation awards and share</w:t>
            </w:r>
          </w:p>
        </w:tc>
        <w:tc>
          <w:tcPr>
            <w:tcW w:w="1580" w:type="dxa"/>
            <w:vAlign w:val="bottom"/>
          </w:tcPr>
          <w:p>
            <w:pPr>
              <w:spacing w:after="0"/>
              <w:rPr>
                <w:sz w:val="16"/>
                <w:szCs w:val="16"/>
                <w:color w:val="auto"/>
              </w:rPr>
            </w:pPr>
          </w:p>
        </w:tc>
      </w:tr>
      <w:tr>
        <w:trPr>
          <w:trHeight w:val="203"/>
        </w:trPr>
        <w:tc>
          <w:tcPr>
            <w:tcW w:w="7720" w:type="dxa"/>
            <w:vAlign w:val="bottom"/>
          </w:tcPr>
          <w:p>
            <w:pPr>
              <w:ind w:left="280"/>
              <w:spacing w:after="0"/>
              <w:rPr>
                <w:sz w:val="20"/>
                <w:szCs w:val="20"/>
                <w:color w:val="auto"/>
              </w:rPr>
            </w:pPr>
            <w:r>
              <w:rPr>
                <w:rFonts w:ascii="Arial" w:cs="Arial" w:eastAsia="Arial" w:hAnsi="Arial"/>
                <w:sz w:val="16"/>
                <w:szCs w:val="16"/>
                <w:color w:val="auto"/>
              </w:rPr>
              <w:t>repurchase excise tax</w:t>
            </w:r>
          </w:p>
        </w:tc>
        <w:tc>
          <w:tcPr>
            <w:tcW w:w="1580" w:type="dxa"/>
            <w:vAlign w:val="bottom"/>
          </w:tcPr>
          <w:p>
            <w:pPr>
              <w:jc w:val="right"/>
              <w:spacing w:after="0"/>
              <w:rPr>
                <w:sz w:val="20"/>
                <w:szCs w:val="20"/>
                <w:color w:val="auto"/>
              </w:rPr>
            </w:pPr>
            <w:r>
              <w:rPr>
                <w:rFonts w:ascii="Arial" w:cs="Arial" w:eastAsia="Arial" w:hAnsi="Arial"/>
                <w:sz w:val="16"/>
                <w:szCs w:val="16"/>
                <w:color w:val="auto"/>
              </w:rPr>
              <w:t>(16,822)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-1816735</wp:posOffset>
            </wp:positionV>
            <wp:extent cx="7132320" cy="1200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-1576705</wp:posOffset>
            </wp:positionV>
            <wp:extent cx="7132320" cy="1200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-1079500</wp:posOffset>
            </wp:positionV>
            <wp:extent cx="7132320" cy="1200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-839470</wp:posOffset>
            </wp:positionV>
            <wp:extent cx="7132320" cy="1200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1200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1200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-2065020</wp:posOffset>
            </wp:positionV>
            <wp:extent cx="7132320"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-1336675</wp:posOffset>
            </wp:positionV>
            <wp:extent cx="7132320"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Arial" w:cs="Arial" w:eastAsia="Arial" w:hAnsi="Arial"/>
          <w:sz w:val="16"/>
          <w:szCs w:val="16"/>
          <w:b w:val="1"/>
          <w:bCs w:val="1"/>
          <w:color w:val="auto"/>
        </w:rPr>
        <w:t>435,216</w:t>
      </w:r>
    </w:p>
    <w:p>
      <w:pPr>
        <w:spacing w:after="0" w:line="207"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(36,297)</w:t>
      </w:r>
    </w:p>
    <w:p>
      <w:pPr>
        <w:spacing w:after="0" w:line="21"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(52,799)</w:t>
      </w:r>
    </w:p>
    <w:p>
      <w:pPr>
        <w:spacing w:after="0" w:line="5"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(19,382)</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157,365</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220</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49,107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4445</wp:posOffset>
            </wp:positionV>
            <wp:extent cx="11226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(224,996)</w:t>
      </w:r>
    </w:p>
    <w:p>
      <w:pPr>
        <w:spacing w:after="0" w:line="5"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(61,375)</w:t>
      </w:r>
    </w:p>
    <w:p>
      <w:pPr>
        <w:spacing w:after="0" w:line="5"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(6,448)</w:t>
      </w:r>
    </w:p>
    <w:p>
      <w:pPr>
        <w:spacing w:after="0" w:line="5"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(4,667)</w:t>
      </w:r>
    </w:p>
    <w:p>
      <w:pPr>
        <w:spacing w:after="0" w:line="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p>
    <w:p>
      <w:pPr>
        <w:spacing w:after="0" w:line="178"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(11,620)</w:t>
      </w:r>
    </w:p>
    <w:p>
      <w:pPr>
        <w:spacing w:after="0" w:line="20" w:lineRule="exact"/>
        <w:rPr>
          <w:sz w:val="20"/>
          <w:szCs w:val="20"/>
          <w:color w:val="auto"/>
        </w:rPr>
      </w:pPr>
    </w:p>
    <w:p>
      <w:pPr>
        <w:sectPr>
          <w:pgSz w:w="11900" w:h="16838" w:orient="portrait"/>
          <w:cols w:equalWidth="0" w:num="2">
            <w:col w:w="9760" w:space="720"/>
            <w:col w:w="760"/>
          </w:cols>
          <w:pgMar w:left="320" w:top="935" w:right="33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6000" w:type="dxa"/>
            <w:vAlign w:val="bottom"/>
            <w:tcBorders>
              <w:top w:val="single" w:sz="8" w:color="auto"/>
              <w:bottom w:val="single" w:sz="8" w:color="auto"/>
            </w:tcBorders>
            <w:shd w:val="clear" w:color="auto" w:fill="CFF0FC"/>
          </w:tcPr>
          <w:p>
            <w:pPr>
              <w:ind w:left="140"/>
              <w:spacing w:after="0" w:line="183" w:lineRule="exact"/>
              <w:rPr>
                <w:sz w:val="20"/>
                <w:szCs w:val="20"/>
                <w:color w:val="auto"/>
              </w:rPr>
            </w:pPr>
            <w:r>
              <w:rPr>
                <w:rFonts w:ascii="Arial" w:cs="Arial" w:eastAsia="Arial" w:hAnsi="Arial"/>
                <w:sz w:val="16"/>
                <w:szCs w:val="16"/>
                <w:b w:val="1"/>
                <w:bCs w:val="1"/>
                <w:color w:val="auto"/>
              </w:rPr>
              <w:t>Net cash flow used for financing activities</w:t>
            </w:r>
          </w:p>
        </w:tc>
        <w:tc>
          <w:tcPr>
            <w:tcW w:w="2080" w:type="dxa"/>
            <w:vAlign w:val="bottom"/>
            <w:tcBorders>
              <w:top w:val="single" w:sz="8" w:color="auto"/>
              <w:bottom w:val="single" w:sz="8" w:color="auto"/>
            </w:tcBorders>
            <w:shd w:val="clear" w:color="auto" w:fill="CFF0FC"/>
          </w:tcPr>
          <w:p>
            <w:pPr>
              <w:spacing w:after="0"/>
              <w:rPr>
                <w:sz w:val="15"/>
                <w:szCs w:val="15"/>
                <w:color w:val="auto"/>
              </w:rPr>
            </w:pPr>
          </w:p>
        </w:tc>
        <w:tc>
          <w:tcPr>
            <w:tcW w:w="12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(654,357)</w:t>
            </w:r>
          </w:p>
        </w:tc>
        <w:tc>
          <w:tcPr>
            <w:tcW w:w="18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top w:val="single" w:sz="8" w:color="auto"/>
              <w:bottom w:val="single" w:sz="8" w:color="auto"/>
            </w:tcBorders>
            <w:shd w:val="clear" w:color="auto" w:fill="CFF0FC"/>
          </w:tcPr>
          <w:p>
            <w:pPr>
              <w:spacing w:after="0"/>
              <w:rPr>
                <w:sz w:val="15"/>
                <w:szCs w:val="15"/>
                <w:color w:val="auto"/>
              </w:rPr>
            </w:pPr>
          </w:p>
        </w:tc>
        <w:tc>
          <w:tcPr>
            <w:tcW w:w="12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(309,106)</w:t>
            </w:r>
          </w:p>
        </w:tc>
      </w:tr>
      <w:tr>
        <w:trPr>
          <w:trHeight w:val="183"/>
        </w:trPr>
        <w:tc>
          <w:tcPr>
            <w:tcW w:w="6000" w:type="dxa"/>
            <w:vAlign w:val="bottom"/>
          </w:tcPr>
          <w:p>
            <w:pPr>
              <w:ind w:left="140"/>
              <w:spacing w:after="0" w:line="183" w:lineRule="exact"/>
              <w:rPr>
                <w:sz w:val="20"/>
                <w:szCs w:val="20"/>
                <w:color w:val="auto"/>
              </w:rPr>
            </w:pPr>
            <w:r>
              <w:rPr>
                <w:rFonts w:ascii="Arial" w:cs="Arial" w:eastAsia="Arial" w:hAnsi="Arial"/>
                <w:sz w:val="16"/>
                <w:szCs w:val="16"/>
                <w:color w:val="auto"/>
              </w:rPr>
              <w:t>(Decrease) increase in cash and cash equivalents</w:t>
            </w:r>
          </w:p>
        </w:tc>
        <w:tc>
          <w:tcPr>
            <w:tcW w:w="208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(460,439)</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175,217</w:t>
            </w:r>
          </w:p>
        </w:tc>
      </w:tr>
      <w:tr>
        <w:trPr>
          <w:trHeight w:val="189"/>
        </w:trPr>
        <w:tc>
          <w:tcPr>
            <w:tcW w:w="600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6"/>
                <w:szCs w:val="16"/>
                <w:color w:val="auto"/>
              </w:rPr>
              <w:t>Balance of cash and cash equivalents at beginning of period</w:t>
            </w:r>
          </w:p>
        </w:tc>
        <w:tc>
          <w:tcPr>
            <w:tcW w:w="208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693,214</w:t>
            </w:r>
          </w:p>
        </w:tc>
        <w:tc>
          <w:tcPr>
            <w:tcW w:w="18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361,036</w:t>
            </w:r>
          </w:p>
        </w:tc>
      </w:tr>
      <w:tr>
        <w:trPr>
          <w:trHeight w:val="183"/>
        </w:trPr>
        <w:tc>
          <w:tcPr>
            <w:tcW w:w="6000" w:type="dxa"/>
            <w:vAlign w:val="bottom"/>
          </w:tcPr>
          <w:p>
            <w:pPr>
              <w:ind w:left="140"/>
              <w:spacing w:after="0" w:line="183" w:lineRule="exact"/>
              <w:rPr>
                <w:sz w:val="20"/>
                <w:szCs w:val="20"/>
                <w:color w:val="auto"/>
              </w:rPr>
            </w:pPr>
            <w:r>
              <w:rPr>
                <w:rFonts w:ascii="Arial" w:cs="Arial" w:eastAsia="Arial" w:hAnsi="Arial"/>
                <w:sz w:val="16"/>
                <w:szCs w:val="16"/>
                <w:b w:val="1"/>
                <w:bCs w:val="1"/>
                <w:color w:val="auto"/>
              </w:rPr>
              <w:t>Balance of cash and cash equivalents at end of period</w:t>
            </w:r>
          </w:p>
        </w:tc>
        <w:tc>
          <w:tcPr>
            <w:tcW w:w="2080" w:type="dxa"/>
            <w:vAlign w:val="bottom"/>
          </w:tcPr>
          <w:p>
            <w:pPr>
              <w:jc w:val="right"/>
              <w:ind w:right="399"/>
              <w:spacing w:after="0" w:line="183" w:lineRule="exact"/>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39"/>
              <w:spacing w:after="0" w:line="183" w:lineRule="exact"/>
              <w:rPr>
                <w:sz w:val="20"/>
                <w:szCs w:val="20"/>
                <w:color w:val="auto"/>
              </w:rPr>
            </w:pPr>
            <w:r>
              <w:rPr>
                <w:rFonts w:ascii="Arial" w:cs="Arial" w:eastAsia="Arial" w:hAnsi="Arial"/>
                <w:sz w:val="16"/>
                <w:szCs w:val="16"/>
                <w:b w:val="1"/>
                <w:bCs w:val="1"/>
                <w:color w:val="auto"/>
              </w:rPr>
              <w:t>232,775</w:t>
            </w:r>
          </w:p>
        </w:tc>
        <w:tc>
          <w:tcPr>
            <w:tcW w:w="720" w:type="dxa"/>
            <w:vAlign w:val="bottom"/>
            <w:gridSpan w:val="2"/>
          </w:tcPr>
          <w:p>
            <w:pPr>
              <w:jc w:val="right"/>
              <w:ind w:right="460"/>
              <w:spacing w:after="0" w:line="183" w:lineRule="exact"/>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39"/>
              <w:spacing w:after="0" w:line="183" w:lineRule="exact"/>
              <w:rPr>
                <w:sz w:val="20"/>
                <w:szCs w:val="20"/>
                <w:color w:val="auto"/>
              </w:rPr>
            </w:pPr>
            <w:r>
              <w:rPr>
                <w:rFonts w:ascii="Arial" w:cs="Arial" w:eastAsia="Arial" w:hAnsi="Arial"/>
                <w:sz w:val="16"/>
                <w:szCs w:val="16"/>
                <w:b w:val="1"/>
                <w:bCs w:val="1"/>
                <w:color w:val="auto"/>
              </w:rPr>
              <w:t>536,253</w:t>
            </w:r>
          </w:p>
        </w:tc>
      </w:tr>
      <w:tr>
        <w:trPr>
          <w:trHeight w:val="20"/>
        </w:trPr>
        <w:tc>
          <w:tcPr>
            <w:tcW w:w="60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60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9"/>
        </w:trPr>
        <w:tc>
          <w:tcPr>
            <w:tcW w:w="6000" w:type="dxa"/>
            <w:vAlign w:val="bottom"/>
            <w:shd w:val="clear" w:color="auto" w:fill="CFF0FC"/>
          </w:tcPr>
          <w:p>
            <w:pPr>
              <w:spacing w:after="0"/>
              <w:rPr>
                <w:sz w:val="16"/>
                <w:szCs w:val="16"/>
                <w:color w:val="auto"/>
              </w:rPr>
            </w:pPr>
          </w:p>
        </w:tc>
        <w:tc>
          <w:tcPr>
            <w:tcW w:w="208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r>
      <w:tr>
        <w:trPr>
          <w:trHeight w:val="189"/>
        </w:trPr>
        <w:tc>
          <w:tcPr>
            <w:tcW w:w="6000" w:type="dxa"/>
            <w:vAlign w:val="bottom"/>
          </w:tcPr>
          <w:p>
            <w:pPr>
              <w:spacing w:after="0"/>
              <w:rPr>
                <w:sz w:val="20"/>
                <w:szCs w:val="20"/>
                <w:color w:val="auto"/>
              </w:rPr>
            </w:pPr>
            <w:r>
              <w:rPr>
                <w:rFonts w:ascii="Arial" w:cs="Arial" w:eastAsia="Arial" w:hAnsi="Arial"/>
                <w:sz w:val="16"/>
                <w:szCs w:val="16"/>
                <w:b w:val="1"/>
                <w:bCs w:val="1"/>
                <w:color w:val="auto"/>
              </w:rPr>
              <w:t>Supplemental cash flow information:</w:t>
            </w:r>
          </w:p>
        </w:tc>
        <w:tc>
          <w:tcPr>
            <w:tcW w:w="2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6000" w:type="dxa"/>
            <w:vAlign w:val="bottom"/>
            <w:shd w:val="clear" w:color="auto" w:fill="CFF0FC"/>
          </w:tcPr>
          <w:p>
            <w:pPr>
              <w:ind w:left="140"/>
              <w:spacing w:after="0" w:line="189" w:lineRule="exact"/>
              <w:rPr>
                <w:sz w:val="20"/>
                <w:szCs w:val="20"/>
                <w:color w:val="auto"/>
              </w:rPr>
            </w:pPr>
            <w:r>
              <w:rPr>
                <w:rFonts w:ascii="Arial" w:cs="Arial" w:eastAsia="Arial" w:hAnsi="Arial"/>
                <w:sz w:val="16"/>
                <w:szCs w:val="16"/>
                <w:color w:val="auto"/>
              </w:rPr>
              <w:t>Cash paid for income taxes, net of refunds</w:t>
            </w:r>
            <w:r>
              <w:rPr>
                <w:rFonts w:ascii="Arial" w:cs="Arial" w:eastAsia="Arial" w:hAnsi="Arial"/>
                <w:sz w:val="21"/>
                <w:szCs w:val="21"/>
                <w:color w:val="auto"/>
                <w:vertAlign w:val="superscript"/>
              </w:rPr>
              <w:t>(1)</w:t>
            </w:r>
          </w:p>
        </w:tc>
        <w:tc>
          <w:tcPr>
            <w:tcW w:w="208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109,786</w:t>
            </w:r>
          </w:p>
        </w:tc>
        <w:tc>
          <w:tcPr>
            <w:tcW w:w="72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75,386</w:t>
            </w:r>
          </w:p>
        </w:tc>
      </w:tr>
      <w:tr>
        <w:trPr>
          <w:trHeight w:val="215"/>
        </w:trPr>
        <w:tc>
          <w:tcPr>
            <w:tcW w:w="6000" w:type="dxa"/>
            <w:vAlign w:val="bottom"/>
          </w:tcPr>
          <w:p>
            <w:pPr>
              <w:ind w:left="140"/>
              <w:spacing w:after="0"/>
              <w:rPr>
                <w:sz w:val="20"/>
                <w:szCs w:val="20"/>
                <w:color w:val="auto"/>
              </w:rPr>
            </w:pPr>
            <w:r>
              <w:rPr>
                <w:rFonts w:ascii="Arial" w:cs="Arial" w:eastAsia="Arial" w:hAnsi="Arial"/>
                <w:sz w:val="16"/>
                <w:szCs w:val="16"/>
                <w:color w:val="auto"/>
              </w:rPr>
              <w:t>Cash paid for interest</w:t>
            </w:r>
          </w:p>
        </w:tc>
        <w:tc>
          <w:tcPr>
            <w:tcW w:w="20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152,700</w:t>
            </w:r>
          </w:p>
        </w:tc>
        <w:tc>
          <w:tcPr>
            <w:tcW w:w="72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155,853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-1018540</wp:posOffset>
            </wp:positionV>
            <wp:extent cx="1028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-770255</wp:posOffset>
            </wp:positionV>
            <wp:extent cx="1028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16" w:lineRule="exact"/>
        <w:rPr>
          <w:sz w:val="20"/>
          <w:szCs w:val="20"/>
          <w:color w:val="auto"/>
        </w:rPr>
      </w:pPr>
    </w:p>
    <w:p>
      <w:pPr>
        <w:ind w:left="180" w:hanging="172"/>
        <w:spacing w:after="0"/>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Includes $71,474 of payments for clean energy tax credits in 2025.</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b w:val="1"/>
          <w:bCs w:val="1"/>
          <w:color w:val="auto"/>
        </w:rPr>
        <w:t>TEGNA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EQUITY AND REDEEMABLE NONCONTROLLING INTEREST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Unaudited, in thousands of dollars,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2752725</wp:posOffset>
            </wp:positionH>
            <wp:positionV relativeFrom="paragraph">
              <wp:posOffset>203835</wp:posOffset>
            </wp:positionV>
            <wp:extent cx="34290" cy="419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19735"/>
                    </a:xfrm>
                    <a:prstGeom prst="rect">
                      <a:avLst/>
                    </a:prstGeom>
                    <a:noFill/>
                  </pic:spPr>
                </pic:pic>
              </a:graphicData>
            </a:graphic>
          </wp:anchor>
        </w:drawing>
      </w:r>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ind w:right="233"/>
              <w:spacing w:after="0"/>
              <w:rPr>
                <w:sz w:val="20"/>
                <w:szCs w:val="20"/>
                <w:color w:val="auto"/>
              </w:rPr>
            </w:pPr>
            <w:r>
              <w:rPr>
                <w:rFonts w:ascii="Arial" w:cs="Arial" w:eastAsia="Arial" w:hAnsi="Arial"/>
                <w:sz w:val="13"/>
                <w:szCs w:val="13"/>
                <w:b w:val="1"/>
                <w:bCs w:val="1"/>
                <w:color w:val="auto"/>
              </w:rPr>
              <w:t>Redeemable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center"/>
              <w:ind w:right="133"/>
              <w:spacing w:after="0"/>
              <w:rPr>
                <w:sz w:val="20"/>
                <w:szCs w:val="20"/>
                <w:color w:val="auto"/>
              </w:rPr>
            </w:pPr>
            <w:r>
              <w:rPr>
                <w:rFonts w:ascii="Arial" w:cs="Arial" w:eastAsia="Arial" w:hAnsi="Arial"/>
                <w:sz w:val="13"/>
                <w:szCs w:val="13"/>
                <w:b w:val="1"/>
                <w:bCs w:val="1"/>
                <w:color w:val="auto"/>
              </w:rPr>
              <w:t>Common</w:t>
            </w:r>
          </w:p>
        </w:tc>
        <w:tc>
          <w:tcPr>
            <w:tcW w:w="11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Additional paid-</w:t>
            </w:r>
          </w:p>
        </w:tc>
        <w:tc>
          <w:tcPr>
            <w:tcW w:w="120" w:type="dxa"/>
            <w:vAlign w:val="bottom"/>
          </w:tcPr>
          <w:p>
            <w:pPr>
              <w:spacing w:after="0"/>
              <w:rPr>
                <w:sz w:val="13"/>
                <w:szCs w:val="13"/>
                <w:color w:val="auto"/>
              </w:rPr>
            </w:pPr>
          </w:p>
        </w:tc>
        <w:tc>
          <w:tcPr>
            <w:tcW w:w="820" w:type="dxa"/>
            <w:vAlign w:val="bottom"/>
            <w:vMerge w:val="restart"/>
          </w:tcPr>
          <w:p>
            <w:pPr>
              <w:jc w:val="center"/>
              <w:ind w:right="153"/>
              <w:spacing w:after="0"/>
              <w:rPr>
                <w:sz w:val="20"/>
                <w:szCs w:val="20"/>
                <w:color w:val="auto"/>
              </w:rPr>
            </w:pPr>
            <w:r>
              <w:rPr>
                <w:rFonts w:ascii="Arial" w:cs="Arial" w:eastAsia="Arial" w:hAnsi="Arial"/>
                <w:sz w:val="13"/>
                <w:szCs w:val="13"/>
                <w:b w:val="1"/>
                <w:bCs w:val="1"/>
                <w:color w:val="auto"/>
              </w:rPr>
              <w:t>Retained</w:t>
            </w:r>
          </w:p>
        </w:tc>
        <w:tc>
          <w:tcPr>
            <w:tcW w:w="1420" w:type="dxa"/>
            <w:vAlign w:val="bottom"/>
            <w:gridSpan w:val="2"/>
          </w:tcPr>
          <w:p>
            <w:pPr>
              <w:ind w:left="20"/>
              <w:spacing w:after="0"/>
              <w:rPr>
                <w:sz w:val="20"/>
                <w:szCs w:val="20"/>
                <w:color w:val="auto"/>
              </w:rPr>
            </w:pPr>
            <w:r>
              <w:rPr>
                <w:rFonts w:ascii="Arial" w:cs="Arial" w:eastAsia="Arial" w:hAnsi="Arial"/>
                <w:sz w:val="13"/>
                <w:szCs w:val="13"/>
                <w:b w:val="1"/>
                <w:bCs w:val="1"/>
                <w:color w:val="auto"/>
              </w:rPr>
              <w:t>Accumulated other</w:t>
            </w:r>
          </w:p>
        </w:tc>
        <w:tc>
          <w:tcPr>
            <w:tcW w:w="200" w:type="dxa"/>
            <w:vAlign w:val="bottom"/>
          </w:tcPr>
          <w:p>
            <w:pPr>
              <w:spacing w:after="0"/>
              <w:rPr>
                <w:sz w:val="13"/>
                <w:szCs w:val="13"/>
                <w:color w:val="auto"/>
              </w:rPr>
            </w:pPr>
          </w:p>
        </w:tc>
        <w:tc>
          <w:tcPr>
            <w:tcW w:w="1040" w:type="dxa"/>
            <w:vAlign w:val="bottom"/>
            <w:vMerge w:val="restart"/>
          </w:tcPr>
          <w:p>
            <w:pPr>
              <w:jc w:val="center"/>
              <w:ind w:right="333"/>
              <w:spacing w:after="0"/>
              <w:rPr>
                <w:sz w:val="20"/>
                <w:szCs w:val="20"/>
                <w:color w:val="auto"/>
              </w:rPr>
            </w:pPr>
            <w:r>
              <w:rPr>
                <w:rFonts w:ascii="Arial" w:cs="Arial" w:eastAsia="Arial" w:hAnsi="Arial"/>
                <w:sz w:val="13"/>
                <w:szCs w:val="13"/>
                <w:b w:val="1"/>
                <w:bCs w:val="1"/>
                <w:color w:val="auto"/>
              </w:rPr>
              <w:t>Treasury</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00" w:type="dxa"/>
            <w:vAlign w:val="bottom"/>
            <w:vMerge w:val="restart"/>
          </w:tcPr>
          <w:p>
            <w:pPr>
              <w:spacing w:after="0"/>
              <w:rPr>
                <w:sz w:val="20"/>
                <w:szCs w:val="20"/>
                <w:color w:val="auto"/>
              </w:rPr>
            </w:pPr>
            <w:r>
              <w:rPr>
                <w:rFonts w:ascii="Arial" w:cs="Arial" w:eastAsia="Arial" w:hAnsi="Arial"/>
                <w:sz w:val="13"/>
                <w:szCs w:val="13"/>
                <w:b w:val="1"/>
                <w:bCs w:val="1"/>
                <w:color w:val="auto"/>
              </w:rPr>
              <w:t>Quarter ended:</w:t>
            </w:r>
          </w:p>
        </w:tc>
        <w:tc>
          <w:tcPr>
            <w:tcW w:w="120" w:type="dxa"/>
            <w:vAlign w:val="bottom"/>
          </w:tcPr>
          <w:p>
            <w:pPr>
              <w:spacing w:after="0"/>
              <w:rPr>
                <w:sz w:val="12"/>
                <w:szCs w:val="12"/>
                <w:color w:val="auto"/>
              </w:rPr>
            </w:pPr>
          </w:p>
        </w:tc>
        <w:tc>
          <w:tcPr>
            <w:tcW w:w="1320" w:type="dxa"/>
            <w:vAlign w:val="bottom"/>
          </w:tcPr>
          <w:p>
            <w:pPr>
              <w:jc w:val="center"/>
              <w:ind w:right="233"/>
              <w:spacing w:after="0"/>
              <w:rPr>
                <w:sz w:val="20"/>
                <w:szCs w:val="20"/>
                <w:color w:val="auto"/>
              </w:rPr>
            </w:pPr>
            <w:r>
              <w:rPr>
                <w:rFonts w:ascii="Arial" w:cs="Arial" w:eastAsia="Arial" w:hAnsi="Arial"/>
                <w:sz w:val="13"/>
                <w:szCs w:val="13"/>
                <w:b w:val="1"/>
                <w:bCs w:val="1"/>
                <w:color w:val="auto"/>
              </w:rPr>
              <w:t>noncontrolling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213"/>
              <w:spacing w:after="0"/>
              <w:rPr>
                <w:sz w:val="20"/>
                <w:szCs w:val="20"/>
                <w:color w:val="auto"/>
              </w:rPr>
            </w:pPr>
            <w:r>
              <w:rPr>
                <w:rFonts w:ascii="Arial" w:cs="Arial" w:eastAsia="Arial" w:hAnsi="Arial"/>
                <w:sz w:val="13"/>
                <w:szCs w:val="13"/>
                <w:b w:val="1"/>
                <w:bCs w:val="1"/>
                <w:color w:val="auto"/>
              </w:rPr>
              <w:t>comprehensive</w:t>
            </w: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0" w:type="dxa"/>
            <w:vAlign w:val="bottom"/>
            <w:gridSpan w:val="2"/>
            <w:vMerge w:val="restart"/>
          </w:tcPr>
          <w:p>
            <w:pPr>
              <w:jc w:val="right"/>
              <w:ind w:right="113"/>
              <w:spacing w:after="0"/>
              <w:rPr>
                <w:sz w:val="20"/>
                <w:szCs w:val="20"/>
                <w:color w:val="auto"/>
              </w:rPr>
            </w:pPr>
            <w:r>
              <w:rPr>
                <w:rFonts w:ascii="Arial" w:cs="Arial" w:eastAsia="Arial" w:hAnsi="Arial"/>
                <w:sz w:val="13"/>
                <w:szCs w:val="13"/>
                <w:b w:val="1"/>
                <w:bCs w:val="1"/>
                <w:color w:val="auto"/>
              </w:rPr>
              <w:t>Total Equity</w:t>
            </w:r>
          </w:p>
        </w:tc>
        <w:tc>
          <w:tcPr>
            <w:tcW w:w="0" w:type="dxa"/>
            <w:vAlign w:val="bottom"/>
          </w:tcPr>
          <w:p>
            <w:pPr>
              <w:spacing w:after="0"/>
              <w:rPr>
                <w:sz w:val="1"/>
                <w:szCs w:val="1"/>
                <w:color w:val="auto"/>
              </w:rPr>
            </w:pPr>
          </w:p>
        </w:tc>
      </w:tr>
      <w:tr>
        <w:trPr>
          <w:trHeight w:val="163"/>
        </w:trPr>
        <w:tc>
          <w:tcPr>
            <w:tcW w:w="28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93"/>
              <w:spacing w:after="0"/>
              <w:rPr>
                <w:sz w:val="20"/>
                <w:szCs w:val="20"/>
                <w:color w:val="auto"/>
              </w:rPr>
            </w:pPr>
            <w:r>
              <w:rPr>
                <w:rFonts w:ascii="Arial" w:cs="Arial" w:eastAsia="Arial" w:hAnsi="Arial"/>
                <w:sz w:val="13"/>
                <w:szCs w:val="13"/>
                <w:b w:val="1"/>
                <w:bCs w:val="1"/>
                <w:color w:val="auto"/>
              </w:rPr>
              <w:t>interest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w w:val="99"/>
              </w:rPr>
              <w:t>stock</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in capital</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13"/>
              <w:spacing w:after="0"/>
              <w:rPr>
                <w:sz w:val="20"/>
                <w:szCs w:val="20"/>
                <w:color w:val="auto"/>
              </w:rPr>
            </w:pPr>
            <w:r>
              <w:rPr>
                <w:rFonts w:ascii="Arial" w:cs="Arial" w:eastAsia="Arial" w:hAnsi="Arial"/>
                <w:sz w:val="13"/>
                <w:szCs w:val="13"/>
                <w:b w:val="1"/>
                <w:bCs w:val="1"/>
                <w:color w:val="auto"/>
              </w:rPr>
              <w:t>earnings</w:t>
            </w: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73"/>
              <w:spacing w:after="0"/>
              <w:rPr>
                <w:sz w:val="20"/>
                <w:szCs w:val="20"/>
                <w:color w:val="auto"/>
              </w:rPr>
            </w:pPr>
            <w:r>
              <w:rPr>
                <w:rFonts w:ascii="Arial" w:cs="Arial" w:eastAsia="Arial" w:hAnsi="Arial"/>
                <w:sz w:val="13"/>
                <w:szCs w:val="13"/>
                <w:b w:val="1"/>
                <w:bCs w:val="1"/>
                <w:color w:val="auto"/>
                <w:w w:val="99"/>
              </w:rPr>
              <w:t>loss</w:t>
            </w: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93"/>
              <w:spacing w:after="0"/>
              <w:rPr>
                <w:sz w:val="20"/>
                <w:szCs w:val="20"/>
                <w:color w:val="auto"/>
              </w:rPr>
            </w:pPr>
            <w:r>
              <w:rPr>
                <w:rFonts w:ascii="Arial" w:cs="Arial" w:eastAsia="Arial" w:hAnsi="Arial"/>
                <w:sz w:val="13"/>
                <w:szCs w:val="13"/>
                <w:b w:val="1"/>
                <w:bCs w:val="1"/>
                <w:color w:val="auto"/>
              </w:rPr>
              <w:t>stock</w:t>
            </w:r>
          </w:p>
        </w:tc>
        <w:tc>
          <w:tcPr>
            <w:tcW w:w="100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tcBorders>
              <w:left w:val="single" w:sz="8" w:color="auto"/>
              <w:bottom w:val="single" w:sz="8" w:color="auto"/>
              <w:right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Balance as of June 30, 2025</w:t>
            </w: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32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324,419</w:t>
            </w:r>
          </w:p>
        </w:tc>
        <w:tc>
          <w:tcPr>
            <w:tcW w:w="22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3"/>
                <w:szCs w:val="13"/>
                <w:b w:val="1"/>
                <w:bCs w:val="1"/>
                <w:color w:val="auto"/>
              </w:rPr>
              <w:t>27,941</w:t>
            </w: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b w:val="1"/>
                <w:bCs w:val="1"/>
                <w:color w:val="auto"/>
              </w:rPr>
              <w:t>8,574,627</w:t>
            </w:r>
          </w:p>
        </w:tc>
        <w:tc>
          <w:tcPr>
            <w:tcW w:w="1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13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b w:val="1"/>
                <w:bCs w:val="1"/>
                <w:color w:val="auto"/>
              </w:rPr>
              <w:t>(104,532)</w:t>
            </w: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1040" w:type="dxa"/>
            <w:vAlign w:val="bottom"/>
            <w:tcBorders>
              <w:bottom w:val="single" w:sz="8" w:color="auto"/>
              <w:right w:val="single" w:sz="8" w:color="auto"/>
            </w:tcBorders>
          </w:tcPr>
          <w:p>
            <w:pPr>
              <w:jc w:val="right"/>
              <w:ind w:right="133"/>
              <w:spacing w:after="0" w:line="142" w:lineRule="exact"/>
              <w:rPr>
                <w:sz w:val="20"/>
                <w:szCs w:val="20"/>
                <w:color w:val="auto"/>
              </w:rPr>
            </w:pPr>
            <w:r>
              <w:rPr>
                <w:rFonts w:ascii="Arial" w:cs="Arial" w:eastAsia="Arial" w:hAnsi="Arial"/>
                <w:sz w:val="13"/>
                <w:szCs w:val="13"/>
                <w:b w:val="1"/>
                <w:bCs w:val="1"/>
                <w:color w:val="auto"/>
              </w:rPr>
              <w:t>(5,729,132)</w:t>
            </w:r>
          </w:p>
        </w:tc>
        <w:tc>
          <w:tcPr>
            <w:tcW w:w="180" w:type="dxa"/>
            <w:vAlign w:val="bottom"/>
            <w:tcBorders>
              <w:bottom w:val="single" w:sz="8" w:color="auto"/>
            </w:tcBorders>
          </w:tcPr>
          <w:p>
            <w:pPr>
              <w:jc w:val="right"/>
              <w:ind w:right="64"/>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Arial" w:cs="Arial" w:eastAsia="Arial" w:hAnsi="Arial"/>
                <w:sz w:val="13"/>
                <w:szCs w:val="13"/>
                <w:b w:val="1"/>
                <w:bCs w:val="1"/>
                <w:color w:val="auto"/>
              </w:rPr>
              <w:t>3,093,323</w:t>
            </w:r>
          </w:p>
        </w:tc>
        <w:tc>
          <w:tcPr>
            <w:tcW w:w="0" w:type="dxa"/>
            <w:vAlign w:val="bottom"/>
          </w:tcPr>
          <w:p>
            <w:pPr>
              <w:spacing w:after="0"/>
              <w:rPr>
                <w:sz w:val="1"/>
                <w:szCs w:val="1"/>
                <w:color w:val="auto"/>
              </w:rPr>
            </w:pPr>
          </w:p>
        </w:tc>
      </w:tr>
      <w:tr>
        <w:trPr>
          <w:trHeight w:val="142"/>
        </w:trPr>
        <w:tc>
          <w:tcPr>
            <w:tcW w:w="2800" w:type="dxa"/>
            <w:vAlign w:val="bottom"/>
            <w:tcBorders>
              <w:left w:val="single" w:sz="8" w:color="CFF0FC"/>
              <w:right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Net (loss) income</w:t>
            </w:r>
          </w:p>
        </w:tc>
        <w:tc>
          <w:tcPr>
            <w:tcW w:w="120" w:type="dxa"/>
            <w:vAlign w:val="bottom"/>
            <w:shd w:val="clear" w:color="auto" w:fill="CFF0FC"/>
          </w:tcPr>
          <w:p>
            <w:pPr>
              <w:spacing w:after="0"/>
              <w:rPr>
                <w:sz w:val="12"/>
                <w:szCs w:val="12"/>
                <w:color w:val="auto"/>
              </w:rPr>
            </w:pPr>
          </w:p>
        </w:tc>
        <w:tc>
          <w:tcPr>
            <w:tcW w:w="1320" w:type="dxa"/>
            <w:vAlign w:val="bottom"/>
            <w:tcBorders>
              <w:right w:val="single" w:sz="8" w:color="auto"/>
            </w:tcBorders>
            <w:shd w:val="clear" w:color="auto" w:fill="CFF0FC"/>
          </w:tcPr>
          <w:p>
            <w:pPr>
              <w:jc w:val="right"/>
              <w:ind w:right="53"/>
              <w:spacing w:after="0" w:line="142" w:lineRule="exact"/>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13"/>
              <w:spacing w:after="0" w:line="142"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33"/>
              <w:spacing w:after="0" w:line="142" w:lineRule="exact"/>
              <w:rPr>
                <w:sz w:val="20"/>
                <w:szCs w:val="20"/>
                <w:color w:val="auto"/>
              </w:rPr>
            </w:pPr>
            <w:r>
              <w:rPr>
                <w:rFonts w:ascii="Arial" w:cs="Arial" w:eastAsia="Arial" w:hAnsi="Arial"/>
                <w:sz w:val="13"/>
                <w:szCs w:val="13"/>
                <w:color w:val="auto"/>
              </w:rPr>
              <w:t>37,116</w:t>
            </w:r>
          </w:p>
        </w:tc>
        <w:tc>
          <w:tcPr>
            <w:tcW w:w="120" w:type="dxa"/>
            <w:vAlign w:val="bottom"/>
            <w:shd w:val="clear" w:color="auto" w:fill="CFF0FC"/>
          </w:tcPr>
          <w:p>
            <w:pPr>
              <w:spacing w:after="0"/>
              <w:rPr>
                <w:sz w:val="12"/>
                <w:szCs w:val="12"/>
                <w:color w:val="auto"/>
              </w:rPr>
            </w:pPr>
          </w:p>
        </w:tc>
        <w:tc>
          <w:tcPr>
            <w:tcW w:w="1300" w:type="dxa"/>
            <w:vAlign w:val="bottom"/>
            <w:shd w:val="clear" w:color="auto" w:fill="CFF0FC"/>
          </w:tcPr>
          <w:p>
            <w:pPr>
              <w:jc w:val="right"/>
              <w:ind w:right="73"/>
              <w:spacing w:after="0" w:line="142"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040" w:type="dxa"/>
            <w:vAlign w:val="bottom"/>
            <w:tcBorders>
              <w:right w:val="single" w:sz="8" w:color="auto"/>
            </w:tcBorders>
            <w:shd w:val="clear" w:color="auto" w:fill="CFF0FC"/>
          </w:tcPr>
          <w:p>
            <w:pPr>
              <w:jc w:val="right"/>
              <w:ind w:right="193"/>
              <w:spacing w:after="0" w:line="142"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820" w:type="dxa"/>
            <w:vAlign w:val="bottom"/>
            <w:tcBorders>
              <w:right w:val="single" w:sz="8" w:color="auto"/>
            </w:tcBorders>
            <w:shd w:val="clear" w:color="auto" w:fill="CFF0FC"/>
          </w:tcPr>
          <w:p>
            <w:pPr>
              <w:jc w:val="right"/>
              <w:ind w:right="53"/>
              <w:spacing w:after="0" w:line="142" w:lineRule="exact"/>
              <w:rPr>
                <w:sz w:val="20"/>
                <w:szCs w:val="20"/>
                <w:color w:val="auto"/>
              </w:rPr>
            </w:pPr>
            <w:r>
              <w:rPr>
                <w:rFonts w:ascii="Arial" w:cs="Arial" w:eastAsia="Arial" w:hAnsi="Arial"/>
                <w:sz w:val="13"/>
                <w:szCs w:val="13"/>
                <w:color w:val="auto"/>
              </w:rPr>
              <w:t>37,116</w:t>
            </w:r>
          </w:p>
        </w:tc>
        <w:tc>
          <w:tcPr>
            <w:tcW w:w="0" w:type="dxa"/>
            <w:vAlign w:val="bottom"/>
          </w:tcPr>
          <w:p>
            <w:pPr>
              <w:spacing w:after="0"/>
              <w:rPr>
                <w:sz w:val="1"/>
                <w:szCs w:val="1"/>
                <w:color w:val="auto"/>
              </w:rPr>
            </w:pPr>
          </w:p>
        </w:tc>
      </w:tr>
      <w:tr>
        <w:trPr>
          <w:trHeight w:val="148"/>
        </w:trPr>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Other comprehensive income, net of tax</w:t>
            </w:r>
          </w:p>
        </w:tc>
        <w:tc>
          <w:tcPr>
            <w:tcW w:w="120" w:type="dxa"/>
            <w:vAlign w:val="bottom"/>
            <w:tcBorders>
              <w:bottom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496</w:t>
            </w: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right"/>
              <w:ind w:right="19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color w:val="auto"/>
              </w:rPr>
              <w:t>496</w:t>
            </w:r>
          </w:p>
        </w:tc>
        <w:tc>
          <w:tcPr>
            <w:tcW w:w="0" w:type="dxa"/>
            <w:vAlign w:val="bottom"/>
          </w:tcPr>
          <w:p>
            <w:pPr>
              <w:spacing w:after="0"/>
              <w:rPr>
                <w:sz w:val="1"/>
                <w:szCs w:val="1"/>
                <w:color w:val="auto"/>
              </w:rPr>
            </w:pPr>
          </w:p>
        </w:tc>
      </w:tr>
      <w:tr>
        <w:trPr>
          <w:trHeight w:val="142"/>
        </w:trPr>
        <w:tc>
          <w:tcPr>
            <w:tcW w:w="2800" w:type="dxa"/>
            <w:vAlign w:val="bottom"/>
            <w:tcBorders>
              <w:left w:val="single" w:sz="8" w:color="auto"/>
              <w:bottom w:val="single" w:sz="8" w:color="auto"/>
              <w:right w:val="single" w:sz="8" w:color="auto"/>
            </w:tcBorders>
            <w:shd w:val="clear" w:color="auto" w:fill="CFF0FC"/>
          </w:tcPr>
          <w:p>
            <w:pPr>
              <w:ind w:left="20"/>
              <w:spacing w:after="0" w:line="142" w:lineRule="exact"/>
              <w:rPr>
                <w:sz w:val="20"/>
                <w:szCs w:val="20"/>
                <w:color w:val="auto"/>
              </w:rPr>
            </w:pPr>
            <w:r>
              <w:rPr>
                <w:rFonts w:ascii="Arial" w:cs="Arial" w:eastAsia="Arial" w:hAnsi="Arial"/>
                <w:sz w:val="13"/>
                <w:szCs w:val="13"/>
                <w:i w:val="1"/>
                <w:iCs w:val="1"/>
                <w:color w:val="auto"/>
              </w:rPr>
              <w:t>Total comprehensive income</w:t>
            </w:r>
          </w:p>
        </w:tc>
        <w:tc>
          <w:tcPr>
            <w:tcW w:w="12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right w:val="single" w:sz="8" w:color="auto"/>
            </w:tcBorders>
            <w:shd w:val="clear" w:color="auto" w:fill="CFF0FC"/>
          </w:tcPr>
          <w:p>
            <w:pPr>
              <w:spacing w:after="0"/>
              <w:rPr>
                <w:sz w:val="12"/>
                <w:szCs w:val="12"/>
                <w:color w:val="auto"/>
              </w:rPr>
            </w:pPr>
          </w:p>
        </w:tc>
        <w:tc>
          <w:tcPr>
            <w:tcW w:w="140" w:type="dxa"/>
            <w:vAlign w:val="bottom"/>
            <w:tcBorders>
              <w:bottom w:val="single" w:sz="8" w:color="CFF0FC"/>
              <w:right w:val="single" w:sz="8" w:color="CFF0FC"/>
            </w:tcBorders>
            <w:shd w:val="clear" w:color="auto" w:fill="CFF0FC"/>
          </w:tcPr>
          <w:p>
            <w:pPr>
              <w:spacing w:after="0"/>
              <w:rPr>
                <w:sz w:val="12"/>
                <w:szCs w:val="12"/>
                <w:color w:val="auto"/>
              </w:rPr>
            </w:pPr>
          </w:p>
        </w:tc>
        <w:tc>
          <w:tcPr>
            <w:tcW w:w="120" w:type="dxa"/>
            <w:vAlign w:val="bottom"/>
            <w:tcBorders>
              <w:bottom w:val="single" w:sz="8" w:color="CFF0FC"/>
              <w:right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right w:val="single" w:sz="8" w:color="auto"/>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right w:val="single" w:sz="8" w:color="auto"/>
            </w:tcBorders>
            <w:shd w:val="clear" w:color="auto" w:fill="CFF0FC"/>
          </w:tcPr>
          <w:p>
            <w:pPr>
              <w:jc w:val="right"/>
              <w:ind w:right="53"/>
              <w:spacing w:after="0" w:line="142" w:lineRule="exact"/>
              <w:rPr>
                <w:sz w:val="20"/>
                <w:szCs w:val="20"/>
                <w:color w:val="auto"/>
              </w:rPr>
            </w:pPr>
            <w:r>
              <w:rPr>
                <w:rFonts w:ascii="Arial" w:cs="Arial" w:eastAsia="Arial" w:hAnsi="Arial"/>
                <w:sz w:val="13"/>
                <w:szCs w:val="13"/>
                <w:color w:val="auto"/>
              </w:rPr>
              <w:t>37,612</w:t>
            </w:r>
          </w:p>
        </w:tc>
        <w:tc>
          <w:tcPr>
            <w:tcW w:w="0" w:type="dxa"/>
            <w:vAlign w:val="bottom"/>
          </w:tcPr>
          <w:p>
            <w:pPr>
              <w:spacing w:after="0"/>
              <w:rPr>
                <w:sz w:val="1"/>
                <w:szCs w:val="1"/>
                <w:color w:val="auto"/>
              </w:rPr>
            </w:pPr>
          </w:p>
        </w:tc>
      </w:tr>
      <w:tr>
        <w:trPr>
          <w:trHeight w:val="142"/>
        </w:trPr>
        <w:tc>
          <w:tcPr>
            <w:tcW w:w="2800" w:type="dxa"/>
            <w:vAlign w:val="bottom"/>
            <w:tcBorders>
              <w:right w:val="single" w:sz="8" w:color="auto"/>
            </w:tcBorders>
          </w:tcPr>
          <w:p>
            <w:pPr>
              <w:spacing w:after="0" w:line="142" w:lineRule="exact"/>
              <w:rPr>
                <w:sz w:val="20"/>
                <w:szCs w:val="20"/>
                <w:color w:val="auto"/>
              </w:rPr>
            </w:pPr>
            <w:r>
              <w:rPr>
                <w:rFonts w:ascii="Arial" w:cs="Arial" w:eastAsia="Arial" w:hAnsi="Arial"/>
                <w:sz w:val="13"/>
                <w:szCs w:val="13"/>
                <w:color w:val="auto"/>
              </w:rPr>
              <w:t>Dividends declared: $0.125 per share</w:t>
            </w:r>
          </w:p>
        </w:tc>
        <w:tc>
          <w:tcPr>
            <w:tcW w:w="120" w:type="dxa"/>
            <w:vAlign w:val="bottom"/>
          </w:tcPr>
          <w:p>
            <w:pPr>
              <w:spacing w:after="0"/>
              <w:rPr>
                <w:sz w:val="12"/>
                <w:szCs w:val="12"/>
                <w:color w:val="auto"/>
              </w:rPr>
            </w:pPr>
          </w:p>
        </w:tc>
        <w:tc>
          <w:tcPr>
            <w:tcW w:w="1320" w:type="dxa"/>
            <w:vAlign w:val="bottom"/>
            <w:tcBorders>
              <w:right w:val="single" w:sz="8" w:color="auto"/>
            </w:tcBorders>
          </w:tcPr>
          <w:p>
            <w:pPr>
              <w:jc w:val="right"/>
              <w:ind w:right="53"/>
              <w:spacing w:after="0" w:line="142" w:lineRule="exact"/>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960" w:type="dxa"/>
            <w:vAlign w:val="bottom"/>
          </w:tcPr>
          <w:p>
            <w:pPr>
              <w:jc w:val="right"/>
              <w:ind w:right="13"/>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3"/>
                <w:szCs w:val="13"/>
                <w:color w:val="auto"/>
              </w:rPr>
              <w:t>(20,130)</w:t>
            </w:r>
          </w:p>
        </w:tc>
        <w:tc>
          <w:tcPr>
            <w:tcW w:w="120" w:type="dxa"/>
            <w:vAlign w:val="bottom"/>
          </w:tcPr>
          <w:p>
            <w:pPr>
              <w:spacing w:after="0"/>
              <w:rPr>
                <w:sz w:val="12"/>
                <w:szCs w:val="12"/>
                <w:color w:val="auto"/>
              </w:rPr>
            </w:pPr>
          </w:p>
        </w:tc>
        <w:tc>
          <w:tcPr>
            <w:tcW w:w="1300" w:type="dxa"/>
            <w:vAlign w:val="bottom"/>
          </w:tcPr>
          <w:p>
            <w:pPr>
              <w:jc w:val="right"/>
              <w:ind w:right="73"/>
              <w:spacing w:after="0" w:line="142"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40" w:type="dxa"/>
            <w:vAlign w:val="bottom"/>
            <w:tcBorders>
              <w:right w:val="single" w:sz="8" w:color="auto"/>
            </w:tcBorders>
          </w:tcPr>
          <w:p>
            <w:pPr>
              <w:jc w:val="right"/>
              <w:ind w:right="193"/>
              <w:spacing w:after="0" w:line="142"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tcBorders>
              <w:right w:val="single" w:sz="8" w:color="auto"/>
            </w:tcBorders>
          </w:tcPr>
          <w:p>
            <w:pPr>
              <w:jc w:val="right"/>
              <w:spacing w:after="0" w:line="142" w:lineRule="exact"/>
              <w:rPr>
                <w:sz w:val="20"/>
                <w:szCs w:val="20"/>
                <w:color w:val="auto"/>
              </w:rPr>
            </w:pPr>
            <w:r>
              <w:rPr>
                <w:rFonts w:ascii="Arial" w:cs="Arial" w:eastAsia="Arial" w:hAnsi="Arial"/>
                <w:sz w:val="13"/>
                <w:szCs w:val="13"/>
                <w:color w:val="auto"/>
              </w:rPr>
              <w:t>(20,130)</w:t>
            </w:r>
          </w:p>
        </w:tc>
        <w:tc>
          <w:tcPr>
            <w:tcW w:w="0" w:type="dxa"/>
            <w:vAlign w:val="bottom"/>
          </w:tcPr>
          <w:p>
            <w:pPr>
              <w:spacing w:after="0"/>
              <w:rPr>
                <w:sz w:val="1"/>
                <w:szCs w:val="1"/>
                <w:color w:val="auto"/>
              </w:rPr>
            </w:pPr>
          </w:p>
        </w:tc>
      </w:tr>
      <w:tr>
        <w:trPr>
          <w:trHeight w:val="148"/>
        </w:trPr>
        <w:tc>
          <w:tcPr>
            <w:tcW w:w="2800" w:type="dxa"/>
            <w:vAlign w:val="bottom"/>
            <w:tcBorders>
              <w:left w:val="single" w:sz="8" w:color="CFF0FC"/>
              <w:right w:val="single" w:sz="8" w:color="auto"/>
            </w:tcBorders>
            <w:shd w:val="clear" w:color="auto" w:fill="CFF0FC"/>
          </w:tcPr>
          <w:p>
            <w:pPr>
              <w:spacing w:after="0"/>
              <w:rPr>
                <w:sz w:val="20"/>
                <w:szCs w:val="20"/>
                <w:color w:val="auto"/>
              </w:rPr>
            </w:pPr>
            <w:r>
              <w:rPr>
                <w:rFonts w:ascii="Arial" w:cs="Arial" w:eastAsia="Arial" w:hAnsi="Arial"/>
                <w:sz w:val="13"/>
                <w:szCs w:val="13"/>
                <w:color w:val="auto"/>
              </w:rPr>
              <w:t>Stock-based awards activity</w:t>
            </w:r>
          </w:p>
        </w:tc>
        <w:tc>
          <w:tcPr>
            <w:tcW w:w="120" w:type="dxa"/>
            <w:vAlign w:val="bottom"/>
            <w:shd w:val="clear" w:color="auto" w:fill="CFF0FC"/>
          </w:tcPr>
          <w:p>
            <w:pPr>
              <w:spacing w:after="0"/>
              <w:rPr>
                <w:sz w:val="12"/>
                <w:szCs w:val="12"/>
                <w:color w:val="auto"/>
              </w:rPr>
            </w:pPr>
          </w:p>
        </w:tc>
        <w:tc>
          <w:tcPr>
            <w:tcW w:w="1320" w:type="dxa"/>
            <w:vAlign w:val="bottom"/>
            <w:tcBorders>
              <w:right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(7,792)</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(6,300)</w:t>
            </w:r>
          </w:p>
        </w:tc>
        <w:tc>
          <w:tcPr>
            <w:tcW w:w="120" w:type="dxa"/>
            <w:vAlign w:val="bottom"/>
            <w:shd w:val="clear" w:color="auto" w:fill="CFF0FC"/>
          </w:tcPr>
          <w:p>
            <w:pPr>
              <w:spacing w:after="0"/>
              <w:rPr>
                <w:sz w:val="12"/>
                <w:szCs w:val="12"/>
                <w:color w:val="auto"/>
              </w:rPr>
            </w:pPr>
          </w:p>
        </w:tc>
        <w:tc>
          <w:tcPr>
            <w:tcW w:w="130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040" w:type="dxa"/>
            <w:vAlign w:val="bottom"/>
            <w:tcBorders>
              <w:right w:val="single" w:sz="8" w:color="auto"/>
            </w:tcBorders>
            <w:shd w:val="clear" w:color="auto" w:fill="CFF0FC"/>
          </w:tcPr>
          <w:p>
            <w:pPr>
              <w:jc w:val="right"/>
              <w:ind w:right="193"/>
              <w:spacing w:after="0"/>
              <w:rPr>
                <w:sz w:val="20"/>
                <w:szCs w:val="20"/>
                <w:color w:val="auto"/>
              </w:rPr>
            </w:pPr>
            <w:r>
              <w:rPr>
                <w:rFonts w:ascii="Arial" w:cs="Arial" w:eastAsia="Arial" w:hAnsi="Arial"/>
                <w:sz w:val="13"/>
                <w:szCs w:val="13"/>
                <w:color w:val="auto"/>
              </w:rPr>
              <w:t>11,759</w:t>
            </w:r>
          </w:p>
        </w:tc>
        <w:tc>
          <w:tcPr>
            <w:tcW w:w="180" w:type="dxa"/>
            <w:vAlign w:val="bottom"/>
            <w:shd w:val="clear" w:color="auto" w:fill="CFF0FC"/>
          </w:tcPr>
          <w:p>
            <w:pPr>
              <w:spacing w:after="0"/>
              <w:rPr>
                <w:sz w:val="12"/>
                <w:szCs w:val="12"/>
                <w:color w:val="auto"/>
              </w:rPr>
            </w:pPr>
          </w:p>
        </w:tc>
        <w:tc>
          <w:tcPr>
            <w:tcW w:w="82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(2,333)</w:t>
            </w:r>
          </w:p>
        </w:tc>
        <w:tc>
          <w:tcPr>
            <w:tcW w:w="0" w:type="dxa"/>
            <w:vAlign w:val="bottom"/>
          </w:tcPr>
          <w:p>
            <w:pPr>
              <w:spacing w:after="0"/>
              <w:rPr>
                <w:sz w:val="1"/>
                <w:szCs w:val="1"/>
                <w:color w:val="auto"/>
              </w:rPr>
            </w:pPr>
          </w:p>
        </w:tc>
      </w:tr>
      <w:tr>
        <w:trPr>
          <w:trHeight w:val="148"/>
        </w:trPr>
        <w:tc>
          <w:tcPr>
            <w:tcW w:w="2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Employee awards stock-based compensation</w:t>
            </w:r>
          </w:p>
        </w:tc>
        <w:tc>
          <w:tcPr>
            <w:tcW w:w="120" w:type="dxa"/>
            <w:vAlign w:val="bottom"/>
          </w:tcPr>
          <w:p>
            <w:pPr>
              <w:spacing w:after="0"/>
              <w:rPr>
                <w:sz w:val="12"/>
                <w:szCs w:val="12"/>
                <w:color w:val="auto"/>
              </w:rPr>
            </w:pPr>
          </w:p>
        </w:tc>
        <w:tc>
          <w:tcPr>
            <w:tcW w:w="132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960" w:type="dxa"/>
            <w:vAlign w:val="bottom"/>
          </w:tcPr>
          <w:p>
            <w:pPr>
              <w:jc w:val="right"/>
              <w:ind w:right="13"/>
              <w:spacing w:after="0"/>
              <w:rPr>
                <w:sz w:val="20"/>
                <w:szCs w:val="20"/>
                <w:color w:val="auto"/>
              </w:rPr>
            </w:pPr>
            <w:r>
              <w:rPr>
                <w:rFonts w:ascii="Arial" w:cs="Arial" w:eastAsia="Arial" w:hAnsi="Arial"/>
                <w:sz w:val="13"/>
                <w:szCs w:val="13"/>
                <w:color w:val="auto"/>
              </w:rPr>
              <w:t>7,455</w:t>
            </w:r>
          </w:p>
        </w:tc>
        <w:tc>
          <w:tcPr>
            <w:tcW w:w="120" w:type="dxa"/>
            <w:vAlign w:val="bottom"/>
          </w:tcPr>
          <w:p>
            <w:pPr>
              <w:spacing w:after="0"/>
              <w:rPr>
                <w:sz w:val="12"/>
                <w:szCs w:val="12"/>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3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40" w:type="dxa"/>
            <w:vAlign w:val="bottom"/>
            <w:tcBorders>
              <w:right w:val="single" w:sz="8" w:color="auto"/>
            </w:tcBorders>
          </w:tcPr>
          <w:p>
            <w:pPr>
              <w:jc w:val="right"/>
              <w:ind w:right="19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7,455</w:t>
            </w:r>
          </w:p>
        </w:tc>
        <w:tc>
          <w:tcPr>
            <w:tcW w:w="0" w:type="dxa"/>
            <w:vAlign w:val="bottom"/>
          </w:tcPr>
          <w:p>
            <w:pPr>
              <w:spacing w:after="0"/>
              <w:rPr>
                <w:sz w:val="1"/>
                <w:szCs w:val="1"/>
                <w:color w:val="auto"/>
              </w:rPr>
            </w:pPr>
          </w:p>
        </w:tc>
      </w:tr>
      <w:tr>
        <w:trPr>
          <w:trHeight w:val="149"/>
        </w:trPr>
        <w:tc>
          <w:tcPr>
            <w:tcW w:w="2800" w:type="dxa"/>
            <w:vAlign w:val="bottom"/>
            <w:tcBorders>
              <w:left w:val="single" w:sz="8" w:color="CFF0FC"/>
              <w:bottom w:val="single" w:sz="8" w:color="auto"/>
              <w:right w:val="single" w:sz="8" w:color="auto"/>
            </w:tcBorders>
            <w:shd w:val="clear" w:color="auto" w:fill="CFF0FC"/>
          </w:tcPr>
          <w:p>
            <w:pPr>
              <w:spacing w:after="0"/>
              <w:rPr>
                <w:sz w:val="20"/>
                <w:szCs w:val="20"/>
                <w:color w:val="auto"/>
              </w:rPr>
            </w:pPr>
            <w:r>
              <w:rPr>
                <w:rFonts w:ascii="Arial" w:cs="Arial" w:eastAsia="Arial" w:hAnsi="Arial"/>
                <w:sz w:val="13"/>
                <w:szCs w:val="13"/>
                <w:color w:val="auto"/>
              </w:rPr>
              <w:t>Other activity</w:t>
            </w:r>
          </w:p>
        </w:tc>
        <w:tc>
          <w:tcPr>
            <w:tcW w:w="12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right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FF0FC"/>
              <w:right w:val="single" w:sz="8" w:color="CFF0FC"/>
            </w:tcBorders>
            <w:shd w:val="clear" w:color="auto" w:fill="CFF0FC"/>
          </w:tcPr>
          <w:p>
            <w:pPr>
              <w:spacing w:after="0"/>
              <w:rPr>
                <w:sz w:val="12"/>
                <w:szCs w:val="12"/>
                <w:color w:val="auto"/>
              </w:rPr>
            </w:pPr>
          </w:p>
        </w:tc>
        <w:tc>
          <w:tcPr>
            <w:tcW w:w="120" w:type="dxa"/>
            <w:vAlign w:val="bottom"/>
            <w:tcBorders>
              <w:bottom w:val="single" w:sz="8" w:color="CFF0FC"/>
              <w:right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3"/>
                <w:szCs w:val="13"/>
                <w:color w:val="auto"/>
              </w:rPr>
              <w:t>337</w:t>
            </w:r>
          </w:p>
        </w:tc>
        <w:tc>
          <w:tcPr>
            <w:tcW w:w="12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right w:val="single" w:sz="8" w:color="auto"/>
            </w:tcBorders>
            <w:shd w:val="clear" w:color="auto" w:fill="CFF0FC"/>
          </w:tcPr>
          <w:p>
            <w:pPr>
              <w:jc w:val="right"/>
              <w:ind w:right="19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right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337</w:t>
            </w:r>
          </w:p>
        </w:tc>
        <w:tc>
          <w:tcPr>
            <w:tcW w:w="0" w:type="dxa"/>
            <w:vAlign w:val="bottom"/>
          </w:tcPr>
          <w:p>
            <w:pPr>
              <w:spacing w:after="0"/>
              <w:rPr>
                <w:sz w:val="1"/>
                <w:szCs w:val="1"/>
                <w:color w:val="auto"/>
              </w:rPr>
            </w:pPr>
          </w:p>
        </w:tc>
      </w:tr>
      <w:tr>
        <w:trPr>
          <w:trHeight w:val="142"/>
        </w:trPr>
        <w:tc>
          <w:tcPr>
            <w:tcW w:w="2800" w:type="dxa"/>
            <w:vAlign w:val="bottom"/>
            <w:tcBorders>
              <w:left w:val="single" w:sz="8" w:color="auto"/>
              <w:bottom w:val="single" w:sz="8" w:color="auto"/>
              <w:right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Balance as of Sept. 30, 2025</w:t>
            </w: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32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Arial" w:cs="Arial" w:eastAsia="Arial" w:hAnsi="Arial"/>
                <w:sz w:val="13"/>
                <w:szCs w:val="13"/>
                <w:b w:val="1"/>
                <w:bCs w:val="1"/>
                <w:color w:val="auto"/>
              </w:rPr>
              <w:t>—</w:t>
            </w:r>
          </w:p>
        </w:tc>
        <w:tc>
          <w:tcPr>
            <w:tcW w:w="260" w:type="dxa"/>
            <w:vAlign w:val="bottom"/>
            <w:tcBorders>
              <w:right w:val="single" w:sz="8" w:color="auto"/>
            </w:tcBorders>
            <w:gridSpan w:val="2"/>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324,419</w:t>
            </w:r>
          </w:p>
        </w:tc>
        <w:tc>
          <w:tcPr>
            <w:tcW w:w="22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3"/>
                <w:szCs w:val="13"/>
                <w:b w:val="1"/>
                <w:bCs w:val="1"/>
                <w:color w:val="auto"/>
              </w:rPr>
              <w:t>27,941</w:t>
            </w: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b w:val="1"/>
                <w:bCs w:val="1"/>
                <w:color w:val="auto"/>
              </w:rPr>
              <w:t>8,585,313</w:t>
            </w:r>
          </w:p>
        </w:tc>
        <w:tc>
          <w:tcPr>
            <w:tcW w:w="1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13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b w:val="1"/>
                <w:bCs w:val="1"/>
                <w:color w:val="auto"/>
              </w:rPr>
              <w:t>(104,036)</w:t>
            </w: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1040" w:type="dxa"/>
            <w:vAlign w:val="bottom"/>
            <w:tcBorders>
              <w:bottom w:val="single" w:sz="8" w:color="auto"/>
              <w:right w:val="single" w:sz="8" w:color="auto"/>
            </w:tcBorders>
          </w:tcPr>
          <w:p>
            <w:pPr>
              <w:jc w:val="right"/>
              <w:ind w:right="133"/>
              <w:spacing w:after="0" w:line="142" w:lineRule="exact"/>
              <w:rPr>
                <w:sz w:val="20"/>
                <w:szCs w:val="20"/>
                <w:color w:val="auto"/>
              </w:rPr>
            </w:pPr>
            <w:r>
              <w:rPr>
                <w:rFonts w:ascii="Arial" w:cs="Arial" w:eastAsia="Arial" w:hAnsi="Arial"/>
                <w:sz w:val="13"/>
                <w:szCs w:val="13"/>
                <w:b w:val="1"/>
                <w:bCs w:val="1"/>
                <w:color w:val="auto"/>
              </w:rPr>
              <w:t>(5,717,373)</w:t>
            </w:r>
          </w:p>
        </w:tc>
        <w:tc>
          <w:tcPr>
            <w:tcW w:w="180" w:type="dxa"/>
            <w:vAlign w:val="bottom"/>
            <w:tcBorders>
              <w:bottom w:val="single" w:sz="8" w:color="auto"/>
            </w:tcBorders>
          </w:tcPr>
          <w:p>
            <w:pPr>
              <w:jc w:val="right"/>
              <w:ind w:right="64"/>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Arial" w:cs="Arial" w:eastAsia="Arial" w:hAnsi="Arial"/>
                <w:sz w:val="13"/>
                <w:szCs w:val="13"/>
                <w:b w:val="1"/>
                <w:bCs w:val="1"/>
                <w:color w:val="auto"/>
              </w:rPr>
              <w:t>3,116,264</w:t>
            </w:r>
          </w:p>
        </w:tc>
        <w:tc>
          <w:tcPr>
            <w:tcW w:w="0" w:type="dxa"/>
            <w:vAlign w:val="bottom"/>
          </w:tcPr>
          <w:p>
            <w:pPr>
              <w:spacing w:after="0"/>
              <w:rPr>
                <w:sz w:val="1"/>
                <w:szCs w:val="1"/>
                <w:color w:val="auto"/>
              </w:rPr>
            </w:pPr>
          </w:p>
        </w:tc>
      </w:tr>
      <w:tr>
        <w:trPr>
          <w:trHeight w:val="465"/>
        </w:trPr>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center"/>
              <w:ind w:right="233"/>
              <w:spacing w:after="0"/>
              <w:rPr>
                <w:sz w:val="20"/>
                <w:szCs w:val="20"/>
                <w:color w:val="auto"/>
              </w:rPr>
            </w:pPr>
            <w:r>
              <w:rPr>
                <w:rFonts w:ascii="Arial" w:cs="Arial" w:eastAsia="Arial" w:hAnsi="Arial"/>
                <w:sz w:val="13"/>
                <w:szCs w:val="13"/>
                <w:b w:val="1"/>
                <w:bCs w:val="1"/>
                <w:color w:val="auto"/>
              </w:rPr>
              <w:t>Redeemable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vMerge w:val="restart"/>
          </w:tcPr>
          <w:p>
            <w:pPr>
              <w:jc w:val="center"/>
              <w:ind w:right="133"/>
              <w:spacing w:after="0"/>
              <w:rPr>
                <w:sz w:val="20"/>
                <w:szCs w:val="20"/>
                <w:color w:val="auto"/>
              </w:rPr>
            </w:pPr>
            <w:r>
              <w:rPr>
                <w:rFonts w:ascii="Arial" w:cs="Arial" w:eastAsia="Arial" w:hAnsi="Arial"/>
                <w:sz w:val="13"/>
                <w:szCs w:val="13"/>
                <w:b w:val="1"/>
                <w:bCs w:val="1"/>
                <w:color w:val="auto"/>
              </w:rPr>
              <w:t>Common</w:t>
            </w:r>
          </w:p>
        </w:tc>
        <w:tc>
          <w:tcPr>
            <w:tcW w:w="11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Additional paid-</w:t>
            </w:r>
          </w:p>
        </w:tc>
        <w:tc>
          <w:tcPr>
            <w:tcW w:w="120" w:type="dxa"/>
            <w:vAlign w:val="bottom"/>
          </w:tcPr>
          <w:p>
            <w:pPr>
              <w:spacing w:after="0"/>
              <w:rPr>
                <w:sz w:val="24"/>
                <w:szCs w:val="24"/>
                <w:color w:val="auto"/>
              </w:rPr>
            </w:pPr>
          </w:p>
        </w:tc>
        <w:tc>
          <w:tcPr>
            <w:tcW w:w="820" w:type="dxa"/>
            <w:vAlign w:val="bottom"/>
            <w:vMerge w:val="restart"/>
          </w:tcPr>
          <w:p>
            <w:pPr>
              <w:jc w:val="center"/>
              <w:ind w:right="153"/>
              <w:spacing w:after="0"/>
              <w:rPr>
                <w:sz w:val="20"/>
                <w:szCs w:val="20"/>
                <w:color w:val="auto"/>
              </w:rPr>
            </w:pPr>
            <w:r>
              <w:rPr>
                <w:rFonts w:ascii="Arial" w:cs="Arial" w:eastAsia="Arial" w:hAnsi="Arial"/>
                <w:sz w:val="13"/>
                <w:szCs w:val="13"/>
                <w:b w:val="1"/>
                <w:bCs w:val="1"/>
                <w:color w:val="auto"/>
              </w:rPr>
              <w:t>Retained</w:t>
            </w:r>
          </w:p>
        </w:tc>
        <w:tc>
          <w:tcPr>
            <w:tcW w:w="1420" w:type="dxa"/>
            <w:vAlign w:val="bottom"/>
            <w:gridSpan w:val="2"/>
          </w:tcPr>
          <w:p>
            <w:pPr>
              <w:ind w:left="20"/>
              <w:spacing w:after="0"/>
              <w:rPr>
                <w:sz w:val="20"/>
                <w:szCs w:val="20"/>
                <w:color w:val="auto"/>
              </w:rPr>
            </w:pPr>
            <w:r>
              <w:rPr>
                <w:rFonts w:ascii="Arial" w:cs="Arial" w:eastAsia="Arial" w:hAnsi="Arial"/>
                <w:sz w:val="13"/>
                <w:szCs w:val="13"/>
                <w:b w:val="1"/>
                <w:bCs w:val="1"/>
                <w:color w:val="auto"/>
              </w:rPr>
              <w:t>Accumulated other</w:t>
            </w:r>
          </w:p>
        </w:tc>
        <w:tc>
          <w:tcPr>
            <w:tcW w:w="200" w:type="dxa"/>
            <w:vAlign w:val="bottom"/>
          </w:tcPr>
          <w:p>
            <w:pPr>
              <w:spacing w:after="0"/>
              <w:rPr>
                <w:sz w:val="24"/>
                <w:szCs w:val="24"/>
                <w:color w:val="auto"/>
              </w:rPr>
            </w:pPr>
          </w:p>
        </w:tc>
        <w:tc>
          <w:tcPr>
            <w:tcW w:w="1040" w:type="dxa"/>
            <w:vAlign w:val="bottom"/>
            <w:vMerge w:val="restart"/>
          </w:tcPr>
          <w:p>
            <w:pPr>
              <w:jc w:val="center"/>
              <w:ind w:right="333"/>
              <w:spacing w:after="0"/>
              <w:rPr>
                <w:sz w:val="20"/>
                <w:szCs w:val="20"/>
                <w:color w:val="auto"/>
              </w:rPr>
            </w:pPr>
            <w:r>
              <w:rPr>
                <w:rFonts w:ascii="Arial" w:cs="Arial" w:eastAsia="Arial" w:hAnsi="Arial"/>
                <w:sz w:val="13"/>
                <w:szCs w:val="13"/>
                <w:b w:val="1"/>
                <w:bCs w:val="1"/>
                <w:color w:val="auto"/>
              </w:rPr>
              <w:t>Treasury</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233"/>
              <w:spacing w:after="0"/>
              <w:rPr>
                <w:sz w:val="20"/>
                <w:szCs w:val="20"/>
                <w:color w:val="auto"/>
              </w:rPr>
            </w:pPr>
            <w:r>
              <w:rPr>
                <w:rFonts w:ascii="Arial" w:cs="Arial" w:eastAsia="Arial" w:hAnsi="Arial"/>
                <w:sz w:val="13"/>
                <w:szCs w:val="13"/>
                <w:b w:val="1"/>
                <w:bCs w:val="1"/>
                <w:color w:val="auto"/>
              </w:rPr>
              <w:t>noncontrolling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213"/>
              <w:spacing w:after="0"/>
              <w:rPr>
                <w:sz w:val="20"/>
                <w:szCs w:val="20"/>
                <w:color w:val="auto"/>
              </w:rPr>
            </w:pPr>
            <w:r>
              <w:rPr>
                <w:rFonts w:ascii="Arial" w:cs="Arial" w:eastAsia="Arial" w:hAnsi="Arial"/>
                <w:sz w:val="13"/>
                <w:szCs w:val="13"/>
                <w:b w:val="1"/>
                <w:bCs w:val="1"/>
                <w:color w:val="auto"/>
              </w:rPr>
              <w:t>comprehensive</w:t>
            </w: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0" w:type="dxa"/>
            <w:vAlign w:val="bottom"/>
            <w:gridSpan w:val="2"/>
            <w:vMerge w:val="restart"/>
          </w:tcPr>
          <w:p>
            <w:pPr>
              <w:jc w:val="right"/>
              <w:ind w:right="113"/>
              <w:spacing w:after="0"/>
              <w:rPr>
                <w:sz w:val="20"/>
                <w:szCs w:val="20"/>
                <w:color w:val="auto"/>
              </w:rPr>
            </w:pPr>
            <w:r>
              <w:rPr>
                <w:rFonts w:ascii="Arial" w:cs="Arial" w:eastAsia="Arial" w:hAnsi="Arial"/>
                <w:sz w:val="13"/>
                <w:szCs w:val="13"/>
                <w:b w:val="1"/>
                <w:bCs w:val="1"/>
                <w:color w:val="auto"/>
              </w:rPr>
              <w:t>Total Equity</w:t>
            </w:r>
          </w:p>
        </w:tc>
        <w:tc>
          <w:tcPr>
            <w:tcW w:w="0" w:type="dxa"/>
            <w:vAlign w:val="bottom"/>
          </w:tcPr>
          <w:p>
            <w:pPr>
              <w:spacing w:after="0"/>
              <w:rPr>
                <w:sz w:val="1"/>
                <w:szCs w:val="1"/>
                <w:color w:val="auto"/>
              </w:rPr>
            </w:pPr>
          </w:p>
        </w:tc>
      </w:tr>
      <w:tr>
        <w:trPr>
          <w:trHeight w:val="163"/>
        </w:trPr>
        <w:tc>
          <w:tcPr>
            <w:tcW w:w="2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93"/>
              <w:spacing w:after="0"/>
              <w:rPr>
                <w:sz w:val="20"/>
                <w:szCs w:val="20"/>
                <w:color w:val="auto"/>
              </w:rPr>
            </w:pPr>
            <w:r>
              <w:rPr>
                <w:rFonts w:ascii="Arial" w:cs="Arial" w:eastAsia="Arial" w:hAnsi="Arial"/>
                <w:sz w:val="13"/>
                <w:szCs w:val="13"/>
                <w:b w:val="1"/>
                <w:bCs w:val="1"/>
                <w:color w:val="auto"/>
              </w:rPr>
              <w:t>interest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w w:val="99"/>
              </w:rPr>
              <w:t>stock</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in capital</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13"/>
              <w:spacing w:after="0"/>
              <w:rPr>
                <w:sz w:val="20"/>
                <w:szCs w:val="20"/>
                <w:color w:val="auto"/>
              </w:rPr>
            </w:pPr>
            <w:r>
              <w:rPr>
                <w:rFonts w:ascii="Arial" w:cs="Arial" w:eastAsia="Arial" w:hAnsi="Arial"/>
                <w:sz w:val="13"/>
                <w:szCs w:val="13"/>
                <w:b w:val="1"/>
                <w:bCs w:val="1"/>
                <w:color w:val="auto"/>
              </w:rPr>
              <w:t>earnings</w:t>
            </w: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73"/>
              <w:spacing w:after="0"/>
              <w:rPr>
                <w:sz w:val="20"/>
                <w:szCs w:val="20"/>
                <w:color w:val="auto"/>
              </w:rPr>
            </w:pPr>
            <w:r>
              <w:rPr>
                <w:rFonts w:ascii="Arial" w:cs="Arial" w:eastAsia="Arial" w:hAnsi="Arial"/>
                <w:sz w:val="13"/>
                <w:szCs w:val="13"/>
                <w:b w:val="1"/>
                <w:bCs w:val="1"/>
                <w:color w:val="auto"/>
                <w:w w:val="99"/>
              </w:rPr>
              <w:t>loss</w:t>
            </w: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93"/>
              <w:spacing w:after="0"/>
              <w:rPr>
                <w:sz w:val="20"/>
                <w:szCs w:val="20"/>
                <w:color w:val="auto"/>
              </w:rPr>
            </w:pPr>
            <w:r>
              <w:rPr>
                <w:rFonts w:ascii="Arial" w:cs="Arial" w:eastAsia="Arial" w:hAnsi="Arial"/>
                <w:sz w:val="13"/>
                <w:szCs w:val="13"/>
                <w:b w:val="1"/>
                <w:bCs w:val="1"/>
                <w:color w:val="auto"/>
              </w:rPr>
              <w:t>stock</w:t>
            </w:r>
          </w:p>
        </w:tc>
        <w:tc>
          <w:tcPr>
            <w:tcW w:w="100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tcBorders>
              <w:left w:val="single" w:sz="8" w:color="auto"/>
              <w:bottom w:val="single" w:sz="8" w:color="auto"/>
              <w:right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Balance as of June 30, 2024</w:t>
            </w: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32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Arial" w:cs="Arial" w:eastAsia="Arial" w:hAnsi="Arial"/>
                <w:sz w:val="13"/>
                <w:szCs w:val="13"/>
                <w:b w:val="1"/>
                <w:bCs w:val="1"/>
                <w:color w:val="auto"/>
              </w:rPr>
              <w:t>19,555</w:t>
            </w:r>
          </w:p>
        </w:tc>
        <w:tc>
          <w:tcPr>
            <w:tcW w:w="260" w:type="dxa"/>
            <w:vAlign w:val="bottom"/>
            <w:tcBorders>
              <w:right w:val="single" w:sz="8" w:color="auto"/>
            </w:tcBorders>
            <w:gridSpan w:val="2"/>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324,419</w:t>
            </w:r>
          </w:p>
        </w:tc>
        <w:tc>
          <w:tcPr>
            <w:tcW w:w="22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3"/>
                <w:szCs w:val="13"/>
                <w:b w:val="1"/>
                <w:bCs w:val="1"/>
                <w:color w:val="auto"/>
              </w:rPr>
              <w:t>27,941</w:t>
            </w: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b w:val="1"/>
                <w:bCs w:val="1"/>
                <w:color w:val="auto"/>
              </w:rPr>
              <w:t>8,281,037</w:t>
            </w:r>
          </w:p>
        </w:tc>
        <w:tc>
          <w:tcPr>
            <w:tcW w:w="1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13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b w:val="1"/>
                <w:bCs w:val="1"/>
                <w:color w:val="auto"/>
              </w:rPr>
              <w:t>(117,389)</w:t>
            </w: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1040" w:type="dxa"/>
            <w:vAlign w:val="bottom"/>
            <w:tcBorders>
              <w:bottom w:val="single" w:sz="8" w:color="auto"/>
              <w:right w:val="single" w:sz="8" w:color="auto"/>
            </w:tcBorders>
          </w:tcPr>
          <w:p>
            <w:pPr>
              <w:jc w:val="right"/>
              <w:ind w:right="133"/>
              <w:spacing w:after="0" w:line="142" w:lineRule="exact"/>
              <w:rPr>
                <w:sz w:val="20"/>
                <w:szCs w:val="20"/>
                <w:color w:val="auto"/>
              </w:rPr>
            </w:pPr>
            <w:r>
              <w:rPr>
                <w:rFonts w:ascii="Arial" w:cs="Arial" w:eastAsia="Arial" w:hAnsi="Arial"/>
                <w:sz w:val="13"/>
                <w:szCs w:val="13"/>
                <w:b w:val="1"/>
                <w:bCs w:val="1"/>
                <w:color w:val="auto"/>
              </w:rPr>
              <w:t>(5,714,908)</w:t>
            </w:r>
          </w:p>
        </w:tc>
        <w:tc>
          <w:tcPr>
            <w:tcW w:w="180" w:type="dxa"/>
            <w:vAlign w:val="bottom"/>
            <w:tcBorders>
              <w:bottom w:val="single" w:sz="8" w:color="auto"/>
            </w:tcBorders>
          </w:tcPr>
          <w:p>
            <w:pPr>
              <w:jc w:val="right"/>
              <w:ind w:right="64"/>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Arial" w:cs="Arial" w:eastAsia="Arial" w:hAnsi="Arial"/>
                <w:sz w:val="13"/>
                <w:szCs w:val="13"/>
                <w:b w:val="1"/>
                <w:bCs w:val="1"/>
                <w:color w:val="auto"/>
              </w:rPr>
              <w:t>2,801,100</w:t>
            </w:r>
          </w:p>
        </w:tc>
        <w:tc>
          <w:tcPr>
            <w:tcW w:w="0" w:type="dxa"/>
            <w:vAlign w:val="bottom"/>
          </w:tcPr>
          <w:p>
            <w:pPr>
              <w:spacing w:after="0"/>
              <w:rPr>
                <w:sz w:val="1"/>
                <w:szCs w:val="1"/>
                <w:color w:val="auto"/>
              </w:rPr>
            </w:pPr>
          </w:p>
        </w:tc>
      </w:tr>
      <w:tr>
        <w:trPr>
          <w:trHeight w:val="142"/>
        </w:trPr>
        <w:tc>
          <w:tcPr>
            <w:tcW w:w="2800" w:type="dxa"/>
            <w:vAlign w:val="bottom"/>
            <w:tcBorders>
              <w:left w:val="single" w:sz="8" w:color="CFF0FC"/>
              <w:right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Net (loss) income</w:t>
            </w:r>
          </w:p>
        </w:tc>
        <w:tc>
          <w:tcPr>
            <w:tcW w:w="120" w:type="dxa"/>
            <w:vAlign w:val="bottom"/>
            <w:shd w:val="clear" w:color="auto" w:fill="CFF0FC"/>
          </w:tcPr>
          <w:p>
            <w:pPr>
              <w:spacing w:after="0"/>
              <w:rPr>
                <w:sz w:val="12"/>
                <w:szCs w:val="12"/>
                <w:color w:val="auto"/>
              </w:rPr>
            </w:pPr>
          </w:p>
        </w:tc>
        <w:tc>
          <w:tcPr>
            <w:tcW w:w="1320" w:type="dxa"/>
            <w:vAlign w:val="bottom"/>
            <w:tcBorders>
              <w:right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(260)</w:t>
            </w:r>
          </w:p>
        </w:tc>
        <w:tc>
          <w:tcPr>
            <w:tcW w:w="140" w:type="dxa"/>
            <w:vAlign w:val="bottom"/>
            <w:tcBorders>
              <w:right w:val="single" w:sz="8" w:color="auto"/>
            </w:tcBorders>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13"/>
              <w:spacing w:after="0" w:line="142"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33"/>
              <w:spacing w:after="0" w:line="142" w:lineRule="exact"/>
              <w:rPr>
                <w:sz w:val="20"/>
                <w:szCs w:val="20"/>
                <w:color w:val="auto"/>
              </w:rPr>
            </w:pPr>
            <w:r>
              <w:rPr>
                <w:rFonts w:ascii="Arial" w:cs="Arial" w:eastAsia="Arial" w:hAnsi="Arial"/>
                <w:sz w:val="13"/>
                <w:szCs w:val="13"/>
                <w:color w:val="auto"/>
              </w:rPr>
              <w:t>147,448</w:t>
            </w:r>
          </w:p>
        </w:tc>
        <w:tc>
          <w:tcPr>
            <w:tcW w:w="120" w:type="dxa"/>
            <w:vAlign w:val="bottom"/>
            <w:shd w:val="clear" w:color="auto" w:fill="CFF0FC"/>
          </w:tcPr>
          <w:p>
            <w:pPr>
              <w:spacing w:after="0"/>
              <w:rPr>
                <w:sz w:val="12"/>
                <w:szCs w:val="12"/>
                <w:color w:val="auto"/>
              </w:rPr>
            </w:pPr>
          </w:p>
        </w:tc>
        <w:tc>
          <w:tcPr>
            <w:tcW w:w="1300" w:type="dxa"/>
            <w:vAlign w:val="bottom"/>
            <w:shd w:val="clear" w:color="auto" w:fill="CFF0FC"/>
          </w:tcPr>
          <w:p>
            <w:pPr>
              <w:jc w:val="right"/>
              <w:ind w:right="73"/>
              <w:spacing w:after="0" w:line="142"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040" w:type="dxa"/>
            <w:vAlign w:val="bottom"/>
            <w:tcBorders>
              <w:right w:val="single" w:sz="8" w:color="auto"/>
            </w:tcBorders>
            <w:shd w:val="clear" w:color="auto" w:fill="CFF0FC"/>
          </w:tcPr>
          <w:p>
            <w:pPr>
              <w:jc w:val="right"/>
              <w:ind w:right="193"/>
              <w:spacing w:after="0" w:line="142"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820" w:type="dxa"/>
            <w:vAlign w:val="bottom"/>
            <w:tcBorders>
              <w:right w:val="single" w:sz="8" w:color="auto"/>
            </w:tcBorders>
            <w:shd w:val="clear" w:color="auto" w:fill="CFF0FC"/>
          </w:tcPr>
          <w:p>
            <w:pPr>
              <w:jc w:val="right"/>
              <w:ind w:right="53"/>
              <w:spacing w:after="0" w:line="142" w:lineRule="exact"/>
              <w:rPr>
                <w:sz w:val="20"/>
                <w:szCs w:val="20"/>
                <w:color w:val="auto"/>
              </w:rPr>
            </w:pPr>
            <w:r>
              <w:rPr>
                <w:rFonts w:ascii="Arial" w:cs="Arial" w:eastAsia="Arial" w:hAnsi="Arial"/>
                <w:sz w:val="13"/>
                <w:szCs w:val="13"/>
                <w:color w:val="auto"/>
              </w:rPr>
              <w:t>147,448</w:t>
            </w:r>
          </w:p>
        </w:tc>
        <w:tc>
          <w:tcPr>
            <w:tcW w:w="0" w:type="dxa"/>
            <w:vAlign w:val="bottom"/>
          </w:tcPr>
          <w:p>
            <w:pPr>
              <w:spacing w:after="0"/>
              <w:rPr>
                <w:sz w:val="1"/>
                <w:szCs w:val="1"/>
                <w:color w:val="auto"/>
              </w:rPr>
            </w:pPr>
          </w:p>
        </w:tc>
      </w:tr>
      <w:tr>
        <w:trPr>
          <w:trHeight w:val="149"/>
        </w:trPr>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Other comprehensive income, net of tax</w:t>
            </w:r>
          </w:p>
        </w:tc>
        <w:tc>
          <w:tcPr>
            <w:tcW w:w="120" w:type="dxa"/>
            <w:vAlign w:val="bottom"/>
            <w:tcBorders>
              <w:bottom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1,112</w:t>
            </w: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right"/>
              <w:ind w:right="19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color w:val="auto"/>
              </w:rPr>
              <w:t>1,112</w:t>
            </w:r>
          </w:p>
        </w:tc>
        <w:tc>
          <w:tcPr>
            <w:tcW w:w="0" w:type="dxa"/>
            <w:vAlign w:val="bottom"/>
          </w:tcPr>
          <w:p>
            <w:pPr>
              <w:spacing w:after="0"/>
              <w:rPr>
                <w:sz w:val="1"/>
                <w:szCs w:val="1"/>
                <w:color w:val="auto"/>
              </w:rPr>
            </w:pPr>
          </w:p>
        </w:tc>
      </w:tr>
      <w:tr>
        <w:trPr>
          <w:trHeight w:val="142"/>
        </w:trPr>
        <w:tc>
          <w:tcPr>
            <w:tcW w:w="2800" w:type="dxa"/>
            <w:vAlign w:val="bottom"/>
            <w:tcBorders>
              <w:left w:val="single" w:sz="8" w:color="auto"/>
              <w:bottom w:val="single" w:sz="8" w:color="auto"/>
              <w:right w:val="single" w:sz="8" w:color="auto"/>
            </w:tcBorders>
            <w:shd w:val="clear" w:color="auto" w:fill="CFF0FC"/>
          </w:tcPr>
          <w:p>
            <w:pPr>
              <w:ind w:left="20"/>
              <w:spacing w:after="0" w:line="142" w:lineRule="exact"/>
              <w:rPr>
                <w:sz w:val="20"/>
                <w:szCs w:val="20"/>
                <w:color w:val="auto"/>
              </w:rPr>
            </w:pPr>
            <w:r>
              <w:rPr>
                <w:rFonts w:ascii="Arial" w:cs="Arial" w:eastAsia="Arial" w:hAnsi="Arial"/>
                <w:sz w:val="13"/>
                <w:szCs w:val="13"/>
                <w:i w:val="1"/>
                <w:iCs w:val="1"/>
                <w:color w:val="auto"/>
              </w:rPr>
              <w:t>Total comprehensive income</w:t>
            </w:r>
          </w:p>
        </w:tc>
        <w:tc>
          <w:tcPr>
            <w:tcW w:w="12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right w:val="single" w:sz="8" w:color="auto"/>
            </w:tcBorders>
            <w:shd w:val="clear" w:color="auto" w:fill="CFF0FC"/>
          </w:tcPr>
          <w:p>
            <w:pPr>
              <w:spacing w:after="0"/>
              <w:rPr>
                <w:sz w:val="12"/>
                <w:szCs w:val="12"/>
                <w:color w:val="auto"/>
              </w:rPr>
            </w:pPr>
          </w:p>
        </w:tc>
        <w:tc>
          <w:tcPr>
            <w:tcW w:w="140" w:type="dxa"/>
            <w:vAlign w:val="bottom"/>
            <w:tcBorders>
              <w:bottom w:val="single" w:sz="8" w:color="CFF0FC"/>
              <w:right w:val="single" w:sz="8" w:color="CFF0FC"/>
            </w:tcBorders>
            <w:shd w:val="clear" w:color="auto" w:fill="CFF0FC"/>
          </w:tcPr>
          <w:p>
            <w:pPr>
              <w:spacing w:after="0"/>
              <w:rPr>
                <w:sz w:val="12"/>
                <w:szCs w:val="12"/>
                <w:color w:val="auto"/>
              </w:rPr>
            </w:pPr>
          </w:p>
        </w:tc>
        <w:tc>
          <w:tcPr>
            <w:tcW w:w="120" w:type="dxa"/>
            <w:vAlign w:val="bottom"/>
            <w:tcBorders>
              <w:bottom w:val="single" w:sz="8" w:color="CFF0FC"/>
              <w:right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right w:val="single" w:sz="8" w:color="auto"/>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right w:val="single" w:sz="8" w:color="auto"/>
            </w:tcBorders>
            <w:shd w:val="clear" w:color="auto" w:fill="CFF0FC"/>
          </w:tcPr>
          <w:p>
            <w:pPr>
              <w:jc w:val="right"/>
              <w:ind w:right="53"/>
              <w:spacing w:after="0" w:line="142" w:lineRule="exact"/>
              <w:rPr>
                <w:sz w:val="20"/>
                <w:szCs w:val="20"/>
                <w:color w:val="auto"/>
              </w:rPr>
            </w:pPr>
            <w:r>
              <w:rPr>
                <w:rFonts w:ascii="Arial" w:cs="Arial" w:eastAsia="Arial" w:hAnsi="Arial"/>
                <w:sz w:val="13"/>
                <w:szCs w:val="13"/>
                <w:color w:val="auto"/>
              </w:rPr>
              <w:t>148,560</w:t>
            </w:r>
          </w:p>
        </w:tc>
        <w:tc>
          <w:tcPr>
            <w:tcW w:w="0" w:type="dxa"/>
            <w:vAlign w:val="bottom"/>
          </w:tcPr>
          <w:p>
            <w:pPr>
              <w:spacing w:after="0"/>
              <w:rPr>
                <w:sz w:val="1"/>
                <w:szCs w:val="1"/>
                <w:color w:val="auto"/>
              </w:rPr>
            </w:pPr>
          </w:p>
        </w:tc>
      </w:tr>
      <w:tr>
        <w:trPr>
          <w:trHeight w:val="142"/>
        </w:trPr>
        <w:tc>
          <w:tcPr>
            <w:tcW w:w="2800" w:type="dxa"/>
            <w:vAlign w:val="bottom"/>
            <w:tcBorders>
              <w:right w:val="single" w:sz="8" w:color="auto"/>
            </w:tcBorders>
          </w:tcPr>
          <w:p>
            <w:pPr>
              <w:spacing w:after="0" w:line="142" w:lineRule="exact"/>
              <w:rPr>
                <w:sz w:val="20"/>
                <w:szCs w:val="20"/>
                <w:color w:val="auto"/>
              </w:rPr>
            </w:pPr>
            <w:r>
              <w:rPr>
                <w:rFonts w:ascii="Arial" w:cs="Arial" w:eastAsia="Arial" w:hAnsi="Arial"/>
                <w:sz w:val="13"/>
                <w:szCs w:val="13"/>
                <w:color w:val="auto"/>
              </w:rPr>
              <w:t>Dividends declared: $0.125 per share</w:t>
            </w:r>
          </w:p>
        </w:tc>
        <w:tc>
          <w:tcPr>
            <w:tcW w:w="120" w:type="dxa"/>
            <w:vAlign w:val="bottom"/>
          </w:tcPr>
          <w:p>
            <w:pPr>
              <w:spacing w:after="0"/>
              <w:rPr>
                <w:sz w:val="12"/>
                <w:szCs w:val="12"/>
                <w:color w:val="auto"/>
              </w:rPr>
            </w:pPr>
          </w:p>
        </w:tc>
        <w:tc>
          <w:tcPr>
            <w:tcW w:w="1320" w:type="dxa"/>
            <w:vAlign w:val="bottom"/>
            <w:tcBorders>
              <w:right w:val="single" w:sz="8" w:color="auto"/>
            </w:tcBorders>
          </w:tcPr>
          <w:p>
            <w:pPr>
              <w:jc w:val="right"/>
              <w:ind w:right="53"/>
              <w:spacing w:after="0" w:line="142" w:lineRule="exact"/>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960" w:type="dxa"/>
            <w:vAlign w:val="bottom"/>
          </w:tcPr>
          <w:p>
            <w:pPr>
              <w:jc w:val="right"/>
              <w:ind w:right="13"/>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3"/>
                <w:szCs w:val="13"/>
                <w:color w:val="auto"/>
              </w:rPr>
              <w:t>(20,461)</w:t>
            </w:r>
          </w:p>
        </w:tc>
        <w:tc>
          <w:tcPr>
            <w:tcW w:w="120" w:type="dxa"/>
            <w:vAlign w:val="bottom"/>
          </w:tcPr>
          <w:p>
            <w:pPr>
              <w:spacing w:after="0"/>
              <w:rPr>
                <w:sz w:val="12"/>
                <w:szCs w:val="12"/>
                <w:color w:val="auto"/>
              </w:rPr>
            </w:pPr>
          </w:p>
        </w:tc>
        <w:tc>
          <w:tcPr>
            <w:tcW w:w="1300" w:type="dxa"/>
            <w:vAlign w:val="bottom"/>
          </w:tcPr>
          <w:p>
            <w:pPr>
              <w:jc w:val="right"/>
              <w:ind w:right="73"/>
              <w:spacing w:after="0" w:line="142"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40" w:type="dxa"/>
            <w:vAlign w:val="bottom"/>
            <w:tcBorders>
              <w:right w:val="single" w:sz="8" w:color="auto"/>
            </w:tcBorders>
          </w:tcPr>
          <w:p>
            <w:pPr>
              <w:jc w:val="right"/>
              <w:ind w:right="193"/>
              <w:spacing w:after="0" w:line="142"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tcBorders>
              <w:right w:val="single" w:sz="8" w:color="auto"/>
            </w:tcBorders>
          </w:tcPr>
          <w:p>
            <w:pPr>
              <w:jc w:val="right"/>
              <w:spacing w:after="0" w:line="142" w:lineRule="exact"/>
              <w:rPr>
                <w:sz w:val="20"/>
                <w:szCs w:val="20"/>
                <w:color w:val="auto"/>
              </w:rPr>
            </w:pPr>
            <w:r>
              <w:rPr>
                <w:rFonts w:ascii="Arial" w:cs="Arial" w:eastAsia="Arial" w:hAnsi="Arial"/>
                <w:sz w:val="13"/>
                <w:szCs w:val="13"/>
                <w:color w:val="auto"/>
              </w:rPr>
              <w:t>(20,461)</w:t>
            </w:r>
          </w:p>
        </w:tc>
        <w:tc>
          <w:tcPr>
            <w:tcW w:w="0" w:type="dxa"/>
            <w:vAlign w:val="bottom"/>
          </w:tcPr>
          <w:p>
            <w:pPr>
              <w:spacing w:after="0"/>
              <w:rPr>
                <w:sz w:val="1"/>
                <w:szCs w:val="1"/>
                <w:color w:val="auto"/>
              </w:rPr>
            </w:pPr>
          </w:p>
        </w:tc>
      </w:tr>
      <w:tr>
        <w:trPr>
          <w:trHeight w:val="149"/>
        </w:trPr>
        <w:tc>
          <w:tcPr>
            <w:tcW w:w="2800" w:type="dxa"/>
            <w:vAlign w:val="bottom"/>
            <w:tcBorders>
              <w:left w:val="single" w:sz="8" w:color="CFF0FC"/>
              <w:right w:val="single" w:sz="8" w:color="auto"/>
            </w:tcBorders>
            <w:shd w:val="clear" w:color="auto" w:fill="CFF0FC"/>
          </w:tcPr>
          <w:p>
            <w:pPr>
              <w:spacing w:after="0"/>
              <w:rPr>
                <w:sz w:val="20"/>
                <w:szCs w:val="20"/>
                <w:color w:val="auto"/>
              </w:rPr>
            </w:pPr>
            <w:r>
              <w:rPr>
                <w:rFonts w:ascii="Arial" w:cs="Arial" w:eastAsia="Arial" w:hAnsi="Arial"/>
                <w:sz w:val="13"/>
                <w:szCs w:val="13"/>
                <w:color w:val="auto"/>
              </w:rPr>
              <w:t>Company stock 401(k) match contributions</w:t>
            </w:r>
          </w:p>
        </w:tc>
        <w:tc>
          <w:tcPr>
            <w:tcW w:w="120" w:type="dxa"/>
            <w:vAlign w:val="bottom"/>
            <w:shd w:val="clear" w:color="auto" w:fill="CFF0FC"/>
          </w:tcPr>
          <w:p>
            <w:pPr>
              <w:spacing w:after="0"/>
              <w:rPr>
                <w:sz w:val="12"/>
                <w:szCs w:val="12"/>
                <w:color w:val="auto"/>
              </w:rPr>
            </w:pPr>
          </w:p>
        </w:tc>
        <w:tc>
          <w:tcPr>
            <w:tcW w:w="1320" w:type="dxa"/>
            <w:vAlign w:val="bottom"/>
            <w:tcBorders>
              <w:right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(5,906)</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(7,273)</w:t>
            </w:r>
          </w:p>
        </w:tc>
        <w:tc>
          <w:tcPr>
            <w:tcW w:w="120" w:type="dxa"/>
            <w:vAlign w:val="bottom"/>
            <w:shd w:val="clear" w:color="auto" w:fill="CFF0FC"/>
          </w:tcPr>
          <w:p>
            <w:pPr>
              <w:spacing w:after="0"/>
              <w:rPr>
                <w:sz w:val="12"/>
                <w:szCs w:val="12"/>
                <w:color w:val="auto"/>
              </w:rPr>
            </w:pPr>
          </w:p>
        </w:tc>
        <w:tc>
          <w:tcPr>
            <w:tcW w:w="130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040" w:type="dxa"/>
            <w:vAlign w:val="bottom"/>
            <w:tcBorders>
              <w:right w:val="single" w:sz="8" w:color="auto"/>
            </w:tcBorders>
            <w:shd w:val="clear" w:color="auto" w:fill="CFF0FC"/>
          </w:tcPr>
          <w:p>
            <w:pPr>
              <w:jc w:val="right"/>
              <w:ind w:right="193"/>
              <w:spacing w:after="0"/>
              <w:rPr>
                <w:sz w:val="20"/>
                <w:szCs w:val="20"/>
                <w:color w:val="auto"/>
              </w:rPr>
            </w:pPr>
            <w:r>
              <w:rPr>
                <w:rFonts w:ascii="Arial" w:cs="Arial" w:eastAsia="Arial" w:hAnsi="Arial"/>
                <w:sz w:val="13"/>
                <w:szCs w:val="13"/>
                <w:color w:val="auto"/>
              </w:rPr>
              <w:t>17,214</w:t>
            </w:r>
          </w:p>
        </w:tc>
        <w:tc>
          <w:tcPr>
            <w:tcW w:w="180" w:type="dxa"/>
            <w:vAlign w:val="bottom"/>
            <w:shd w:val="clear" w:color="auto" w:fill="CFF0FC"/>
          </w:tcPr>
          <w:p>
            <w:pPr>
              <w:spacing w:after="0"/>
              <w:rPr>
                <w:sz w:val="12"/>
                <w:szCs w:val="12"/>
                <w:color w:val="auto"/>
              </w:rPr>
            </w:pPr>
          </w:p>
        </w:tc>
        <w:tc>
          <w:tcPr>
            <w:tcW w:w="820" w:type="dxa"/>
            <w:vAlign w:val="bottom"/>
            <w:tcBorders>
              <w:right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4,035</w:t>
            </w:r>
          </w:p>
        </w:tc>
        <w:tc>
          <w:tcPr>
            <w:tcW w:w="0" w:type="dxa"/>
            <w:vAlign w:val="bottom"/>
          </w:tcPr>
          <w:p>
            <w:pPr>
              <w:spacing w:after="0"/>
              <w:rPr>
                <w:sz w:val="1"/>
                <w:szCs w:val="1"/>
                <w:color w:val="auto"/>
              </w:rPr>
            </w:pPr>
          </w:p>
        </w:tc>
      </w:tr>
      <w:tr>
        <w:trPr>
          <w:trHeight w:val="148"/>
        </w:trPr>
        <w:tc>
          <w:tcPr>
            <w:tcW w:w="2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Stock-based awards activity</w:t>
            </w:r>
          </w:p>
        </w:tc>
        <w:tc>
          <w:tcPr>
            <w:tcW w:w="120" w:type="dxa"/>
            <w:vAlign w:val="bottom"/>
          </w:tcPr>
          <w:p>
            <w:pPr>
              <w:spacing w:after="0"/>
              <w:rPr>
                <w:sz w:val="12"/>
                <w:szCs w:val="12"/>
                <w:color w:val="auto"/>
              </w:rPr>
            </w:pPr>
          </w:p>
        </w:tc>
        <w:tc>
          <w:tcPr>
            <w:tcW w:w="132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(5,034)</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(6,200)</w:t>
            </w:r>
          </w:p>
        </w:tc>
        <w:tc>
          <w:tcPr>
            <w:tcW w:w="120" w:type="dxa"/>
            <w:vAlign w:val="bottom"/>
          </w:tcPr>
          <w:p>
            <w:pPr>
              <w:spacing w:after="0"/>
              <w:rPr>
                <w:sz w:val="12"/>
                <w:szCs w:val="12"/>
                <w:color w:val="auto"/>
              </w:rPr>
            </w:pPr>
          </w:p>
        </w:tc>
        <w:tc>
          <w:tcPr>
            <w:tcW w:w="13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40" w:type="dxa"/>
            <w:vAlign w:val="bottom"/>
            <w:tcBorders>
              <w:right w:val="single" w:sz="8" w:color="auto"/>
            </w:tcBorders>
          </w:tcPr>
          <w:p>
            <w:pPr>
              <w:jc w:val="right"/>
              <w:ind w:right="193"/>
              <w:spacing w:after="0"/>
              <w:rPr>
                <w:sz w:val="20"/>
                <w:szCs w:val="20"/>
                <w:color w:val="auto"/>
              </w:rPr>
            </w:pPr>
            <w:r>
              <w:rPr>
                <w:rFonts w:ascii="Arial" w:cs="Arial" w:eastAsia="Arial" w:hAnsi="Arial"/>
                <w:sz w:val="13"/>
                <w:szCs w:val="13"/>
                <w:color w:val="auto"/>
              </w:rPr>
              <w:t>9,649</w:t>
            </w:r>
          </w:p>
        </w:tc>
        <w:tc>
          <w:tcPr>
            <w:tcW w:w="180" w:type="dxa"/>
            <w:vAlign w:val="bottom"/>
          </w:tcPr>
          <w:p>
            <w:pPr>
              <w:spacing w:after="0"/>
              <w:rPr>
                <w:sz w:val="12"/>
                <w:szCs w:val="12"/>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(1,585)</w:t>
            </w:r>
          </w:p>
        </w:tc>
        <w:tc>
          <w:tcPr>
            <w:tcW w:w="0" w:type="dxa"/>
            <w:vAlign w:val="bottom"/>
          </w:tcPr>
          <w:p>
            <w:pPr>
              <w:spacing w:after="0"/>
              <w:rPr>
                <w:sz w:val="1"/>
                <w:szCs w:val="1"/>
                <w:color w:val="auto"/>
              </w:rPr>
            </w:pPr>
          </w:p>
        </w:tc>
      </w:tr>
      <w:tr>
        <w:trPr>
          <w:trHeight w:val="148"/>
        </w:trPr>
        <w:tc>
          <w:tcPr>
            <w:tcW w:w="2800" w:type="dxa"/>
            <w:vAlign w:val="bottom"/>
            <w:tcBorders>
              <w:left w:val="single" w:sz="8" w:color="CFF0FC"/>
              <w:right w:val="single" w:sz="8" w:color="auto"/>
            </w:tcBorders>
            <w:shd w:val="clear" w:color="auto" w:fill="CFF0FC"/>
          </w:tcPr>
          <w:p>
            <w:pPr>
              <w:spacing w:after="0"/>
              <w:rPr>
                <w:sz w:val="20"/>
                <w:szCs w:val="20"/>
                <w:color w:val="auto"/>
              </w:rPr>
            </w:pPr>
            <w:r>
              <w:rPr>
                <w:rFonts w:ascii="Arial" w:cs="Arial" w:eastAsia="Arial" w:hAnsi="Arial"/>
                <w:sz w:val="13"/>
                <w:szCs w:val="13"/>
                <w:color w:val="auto"/>
              </w:rPr>
              <w:t>Employee awards stock-based compensation</w:t>
            </w:r>
          </w:p>
        </w:tc>
        <w:tc>
          <w:tcPr>
            <w:tcW w:w="120" w:type="dxa"/>
            <w:vAlign w:val="bottom"/>
            <w:shd w:val="clear" w:color="auto" w:fill="CFF0FC"/>
          </w:tcPr>
          <w:p>
            <w:pPr>
              <w:spacing w:after="0"/>
              <w:rPr>
                <w:sz w:val="12"/>
                <w:szCs w:val="12"/>
                <w:color w:val="auto"/>
              </w:rPr>
            </w:pPr>
          </w:p>
        </w:tc>
        <w:tc>
          <w:tcPr>
            <w:tcW w:w="1320" w:type="dxa"/>
            <w:vAlign w:val="bottom"/>
            <w:tcBorders>
              <w:right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10,590</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30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040" w:type="dxa"/>
            <w:vAlign w:val="bottom"/>
            <w:tcBorders>
              <w:right w:val="single" w:sz="8" w:color="auto"/>
            </w:tcBorders>
            <w:shd w:val="clear" w:color="auto" w:fill="CFF0FC"/>
          </w:tcPr>
          <w:p>
            <w:pPr>
              <w:jc w:val="right"/>
              <w:ind w:right="193"/>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820" w:type="dxa"/>
            <w:vAlign w:val="bottom"/>
            <w:tcBorders>
              <w:right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10,590</w:t>
            </w:r>
          </w:p>
        </w:tc>
        <w:tc>
          <w:tcPr>
            <w:tcW w:w="0" w:type="dxa"/>
            <w:vAlign w:val="bottom"/>
          </w:tcPr>
          <w:p>
            <w:pPr>
              <w:spacing w:after="0"/>
              <w:rPr>
                <w:sz w:val="1"/>
                <w:szCs w:val="1"/>
                <w:color w:val="auto"/>
              </w:rPr>
            </w:pPr>
          </w:p>
        </w:tc>
      </w:tr>
      <w:tr>
        <w:trPr>
          <w:trHeight w:val="148"/>
        </w:trPr>
        <w:tc>
          <w:tcPr>
            <w:tcW w:w="2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Repurchase of common stock</w:t>
            </w:r>
          </w:p>
        </w:tc>
        <w:tc>
          <w:tcPr>
            <w:tcW w:w="120" w:type="dxa"/>
            <w:vAlign w:val="bottom"/>
          </w:tcPr>
          <w:p>
            <w:pPr>
              <w:spacing w:after="0"/>
              <w:rPr>
                <w:sz w:val="12"/>
                <w:szCs w:val="12"/>
                <w:color w:val="auto"/>
              </w:rPr>
            </w:pPr>
          </w:p>
        </w:tc>
        <w:tc>
          <w:tcPr>
            <w:tcW w:w="132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9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3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40" w:type="dxa"/>
            <w:vAlign w:val="bottom"/>
            <w:tcBorders>
              <w:right w:val="single" w:sz="8" w:color="auto"/>
            </w:tcBorders>
          </w:tcPr>
          <w:p>
            <w:pPr>
              <w:jc w:val="right"/>
              <w:ind w:right="133"/>
              <w:spacing w:after="0"/>
              <w:rPr>
                <w:sz w:val="20"/>
                <w:szCs w:val="20"/>
                <w:color w:val="auto"/>
              </w:rPr>
            </w:pPr>
            <w:r>
              <w:rPr>
                <w:rFonts w:ascii="Arial" w:cs="Arial" w:eastAsia="Arial" w:hAnsi="Arial"/>
                <w:sz w:val="13"/>
                <w:szCs w:val="13"/>
                <w:color w:val="auto"/>
              </w:rPr>
              <w:t>(70,580)</w:t>
            </w:r>
          </w:p>
        </w:tc>
        <w:tc>
          <w:tcPr>
            <w:tcW w:w="180" w:type="dxa"/>
            <w:vAlign w:val="bottom"/>
          </w:tcPr>
          <w:p>
            <w:pPr>
              <w:spacing w:after="0"/>
              <w:rPr>
                <w:sz w:val="12"/>
                <w:szCs w:val="12"/>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(70,580)</w:t>
            </w:r>
          </w:p>
        </w:tc>
        <w:tc>
          <w:tcPr>
            <w:tcW w:w="0" w:type="dxa"/>
            <w:vAlign w:val="bottom"/>
          </w:tcPr>
          <w:p>
            <w:pPr>
              <w:spacing w:after="0"/>
              <w:rPr>
                <w:sz w:val="1"/>
                <w:szCs w:val="1"/>
                <w:color w:val="auto"/>
              </w:rPr>
            </w:pPr>
          </w:p>
        </w:tc>
      </w:tr>
      <w:tr>
        <w:trPr>
          <w:trHeight w:val="136"/>
        </w:trPr>
        <w:tc>
          <w:tcPr>
            <w:tcW w:w="2800" w:type="dxa"/>
            <w:vAlign w:val="bottom"/>
            <w:tcBorders>
              <w:left w:val="single" w:sz="8" w:color="CFF0FC"/>
              <w:right w:val="single" w:sz="8" w:color="auto"/>
            </w:tcBorders>
            <w:shd w:val="clear" w:color="auto" w:fill="CFF0FC"/>
          </w:tcPr>
          <w:p>
            <w:pPr>
              <w:spacing w:after="0" w:line="136" w:lineRule="exact"/>
              <w:rPr>
                <w:sz w:val="20"/>
                <w:szCs w:val="20"/>
                <w:color w:val="auto"/>
              </w:rPr>
            </w:pPr>
            <w:r>
              <w:rPr>
                <w:rFonts w:ascii="Arial" w:cs="Arial" w:eastAsia="Arial" w:hAnsi="Arial"/>
                <w:sz w:val="13"/>
                <w:szCs w:val="13"/>
                <w:color w:val="auto"/>
              </w:rPr>
              <w:t>Adjustment of redeemable noncontrolling</w:t>
            </w:r>
          </w:p>
        </w:tc>
        <w:tc>
          <w:tcPr>
            <w:tcW w:w="120" w:type="dxa"/>
            <w:vAlign w:val="bottom"/>
            <w:shd w:val="clear" w:color="auto" w:fill="CFF0FC"/>
          </w:tcPr>
          <w:p>
            <w:pPr>
              <w:spacing w:after="0"/>
              <w:rPr>
                <w:sz w:val="11"/>
                <w:szCs w:val="11"/>
                <w:color w:val="auto"/>
              </w:rPr>
            </w:pPr>
          </w:p>
        </w:tc>
        <w:tc>
          <w:tcPr>
            <w:tcW w:w="1320" w:type="dxa"/>
            <w:vAlign w:val="bottom"/>
            <w:tcBorders>
              <w:right w:val="single" w:sz="8" w:color="auto"/>
            </w:tcBorders>
            <w:shd w:val="clear" w:color="auto" w:fill="CFF0FC"/>
          </w:tcPr>
          <w:p>
            <w:pPr>
              <w:jc w:val="right"/>
              <w:ind w:right="53"/>
              <w:spacing w:after="0" w:line="136" w:lineRule="exact"/>
              <w:rPr>
                <w:sz w:val="20"/>
                <w:szCs w:val="20"/>
                <w:color w:val="auto"/>
              </w:rPr>
            </w:pPr>
            <w:r>
              <w:rPr>
                <w:rFonts w:ascii="Arial" w:cs="Arial" w:eastAsia="Arial" w:hAnsi="Arial"/>
                <w:sz w:val="13"/>
                <w:szCs w:val="13"/>
                <w:color w:val="auto"/>
              </w:rPr>
              <w:t>641</w:t>
            </w: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13"/>
              <w:spacing w:after="0" w:line="136"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(641)</w:t>
            </w:r>
          </w:p>
        </w:tc>
        <w:tc>
          <w:tcPr>
            <w:tcW w:w="12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73"/>
              <w:spacing w:after="0" w:line="136"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1"/>
                <w:szCs w:val="11"/>
                <w:color w:val="auto"/>
              </w:rPr>
            </w:pPr>
          </w:p>
        </w:tc>
        <w:tc>
          <w:tcPr>
            <w:tcW w:w="1040" w:type="dxa"/>
            <w:vAlign w:val="bottom"/>
            <w:tcBorders>
              <w:right w:val="single" w:sz="8" w:color="auto"/>
            </w:tcBorders>
            <w:shd w:val="clear" w:color="auto" w:fill="CFF0FC"/>
          </w:tcPr>
          <w:p>
            <w:pPr>
              <w:jc w:val="right"/>
              <w:ind w:right="193"/>
              <w:spacing w:after="0" w:line="136"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1"/>
                <w:szCs w:val="11"/>
                <w:color w:val="auto"/>
              </w:rPr>
            </w:pPr>
          </w:p>
        </w:tc>
        <w:tc>
          <w:tcPr>
            <w:tcW w:w="820" w:type="dxa"/>
            <w:vAlign w:val="bottom"/>
            <w:tcBorders>
              <w:right w:val="single" w:sz="8" w:color="auto"/>
            </w:tcBorders>
            <w:shd w:val="clear" w:color="auto" w:fill="CFF0FC"/>
          </w:tcPr>
          <w:p>
            <w:pPr>
              <w:jc w:val="right"/>
              <w:spacing w:after="0" w:line="136" w:lineRule="exact"/>
              <w:rPr>
                <w:sz w:val="20"/>
                <w:szCs w:val="20"/>
                <w:color w:val="auto"/>
              </w:rPr>
            </w:pPr>
            <w:r>
              <w:rPr>
                <w:rFonts w:ascii="Arial" w:cs="Arial" w:eastAsia="Arial" w:hAnsi="Arial"/>
                <w:sz w:val="13"/>
                <w:szCs w:val="13"/>
                <w:color w:val="auto"/>
              </w:rPr>
              <w:t>(641)</w:t>
            </w:r>
          </w:p>
        </w:tc>
        <w:tc>
          <w:tcPr>
            <w:tcW w:w="0" w:type="dxa"/>
            <w:vAlign w:val="bottom"/>
          </w:tcPr>
          <w:p>
            <w:pPr>
              <w:spacing w:after="0"/>
              <w:rPr>
                <w:sz w:val="1"/>
                <w:szCs w:val="1"/>
                <w:color w:val="auto"/>
              </w:rPr>
            </w:pPr>
          </w:p>
        </w:tc>
      </w:tr>
      <w:tr>
        <w:trPr>
          <w:trHeight w:val="161"/>
        </w:trPr>
        <w:tc>
          <w:tcPr>
            <w:tcW w:w="2800" w:type="dxa"/>
            <w:vAlign w:val="bottom"/>
            <w:tcBorders>
              <w:left w:val="single" w:sz="8" w:color="CFF0FC"/>
              <w:right w:val="single" w:sz="8" w:color="auto"/>
            </w:tcBorders>
            <w:shd w:val="clear" w:color="auto" w:fill="CFF0FC"/>
          </w:tcPr>
          <w:p>
            <w:pPr>
              <w:spacing w:after="0"/>
              <w:rPr>
                <w:sz w:val="20"/>
                <w:szCs w:val="20"/>
                <w:color w:val="auto"/>
              </w:rPr>
            </w:pPr>
            <w:r>
              <w:rPr>
                <w:rFonts w:ascii="Arial" w:cs="Arial" w:eastAsia="Arial" w:hAnsi="Arial"/>
                <w:sz w:val="13"/>
                <w:szCs w:val="13"/>
                <w:color w:val="auto"/>
              </w:rPr>
              <w:t>interest to redemption value</w:t>
            </w:r>
          </w:p>
        </w:tc>
        <w:tc>
          <w:tcPr>
            <w:tcW w:w="120" w:type="dxa"/>
            <w:vAlign w:val="bottom"/>
            <w:shd w:val="clear" w:color="auto" w:fill="CFF0FC"/>
          </w:tcPr>
          <w:p>
            <w:pPr>
              <w:spacing w:after="0"/>
              <w:rPr>
                <w:sz w:val="14"/>
                <w:szCs w:val="14"/>
                <w:color w:val="auto"/>
              </w:rPr>
            </w:pPr>
          </w:p>
        </w:tc>
        <w:tc>
          <w:tcPr>
            <w:tcW w:w="1320" w:type="dxa"/>
            <w:vAlign w:val="bottom"/>
            <w:tcBorders>
              <w:right w:val="single" w:sz="8" w:color="auto"/>
            </w:tcBorders>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tcBorders>
              <w:right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tcBorders>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Other activity</w:t>
            </w:r>
          </w:p>
        </w:tc>
        <w:tc>
          <w:tcPr>
            <w:tcW w:w="120" w:type="dxa"/>
            <w:vAlign w:val="bottom"/>
            <w:tcBorders>
              <w:bottom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350</w:t>
            </w: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right"/>
              <w:ind w:right="19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142"/>
        </w:trPr>
        <w:tc>
          <w:tcPr>
            <w:tcW w:w="2800" w:type="dxa"/>
            <w:vAlign w:val="bottom"/>
            <w:tcBorders>
              <w:left w:val="single" w:sz="8" w:color="auto"/>
              <w:bottom w:val="single" w:sz="8" w:color="auto"/>
              <w:right w:val="single" w:sz="8" w:color="auto"/>
            </w:tcBorders>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Balance as of Sept. 30, 2024</w:t>
            </w:r>
          </w:p>
        </w:tc>
        <w:tc>
          <w:tcPr>
            <w:tcW w:w="120" w:type="dxa"/>
            <w:vAlign w:val="bottom"/>
            <w:tcBorders>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320" w:type="dxa"/>
            <w:vAlign w:val="bottom"/>
            <w:tcBorders>
              <w:bottom w:val="single" w:sz="8" w:color="auto"/>
              <w:right w:val="single" w:sz="8" w:color="auto"/>
            </w:tcBorders>
            <w:shd w:val="clear" w:color="auto" w:fill="CFF0FC"/>
          </w:tcPr>
          <w:p>
            <w:pPr>
              <w:jc w:val="right"/>
              <w:ind w:right="53"/>
              <w:spacing w:after="0" w:line="142" w:lineRule="exact"/>
              <w:rPr>
                <w:sz w:val="20"/>
                <w:szCs w:val="20"/>
                <w:color w:val="auto"/>
              </w:rPr>
            </w:pPr>
            <w:r>
              <w:rPr>
                <w:rFonts w:ascii="Arial" w:cs="Arial" w:eastAsia="Arial" w:hAnsi="Arial"/>
                <w:sz w:val="13"/>
                <w:szCs w:val="13"/>
                <w:b w:val="1"/>
                <w:bCs w:val="1"/>
                <w:color w:val="auto"/>
              </w:rPr>
              <w:t>19,936</w:t>
            </w:r>
          </w:p>
        </w:tc>
        <w:tc>
          <w:tcPr>
            <w:tcW w:w="260" w:type="dxa"/>
            <w:vAlign w:val="bottom"/>
            <w:tcBorders>
              <w:bottom w:val="single" w:sz="8" w:color="CFF0FC"/>
              <w:right w:val="single" w:sz="8" w:color="auto"/>
            </w:tcBorders>
            <w:gridSpan w:val="2"/>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324,419</w:t>
            </w:r>
          </w:p>
        </w:tc>
        <w:tc>
          <w:tcPr>
            <w:tcW w:w="220" w:type="dxa"/>
            <w:vAlign w:val="bottom"/>
            <w:tcBorders>
              <w:bottom w:val="single" w:sz="8" w:color="auto"/>
            </w:tcBorders>
            <w:shd w:val="clear" w:color="auto" w:fill="CFF0FC"/>
          </w:tcPr>
          <w:p>
            <w:pPr>
              <w:ind w:left="60"/>
              <w:spacing w:after="0" w:line="142" w:lineRule="exact"/>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auto"/>
            </w:tcBorders>
            <w:shd w:val="clear" w:color="auto" w:fill="CFF0FC"/>
          </w:tcPr>
          <w:p>
            <w:pPr>
              <w:jc w:val="right"/>
              <w:ind w:right="13"/>
              <w:spacing w:after="0" w:line="142" w:lineRule="exact"/>
              <w:rPr>
                <w:sz w:val="20"/>
                <w:szCs w:val="20"/>
                <w:color w:val="auto"/>
              </w:rPr>
            </w:pPr>
            <w:r>
              <w:rPr>
                <w:rFonts w:ascii="Arial" w:cs="Arial" w:eastAsia="Arial" w:hAnsi="Arial"/>
                <w:sz w:val="13"/>
                <w:szCs w:val="13"/>
                <w:b w:val="1"/>
                <w:bCs w:val="1"/>
                <w:color w:val="auto"/>
              </w:rPr>
              <w:t>27,941</w:t>
            </w: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shd w:val="clear" w:color="auto" w:fill="CFF0FC"/>
          </w:tcPr>
          <w:p>
            <w:pPr>
              <w:jc w:val="right"/>
              <w:ind w:right="33"/>
              <w:spacing w:after="0" w:line="142" w:lineRule="exact"/>
              <w:rPr>
                <w:sz w:val="20"/>
                <w:szCs w:val="20"/>
                <w:color w:val="auto"/>
              </w:rPr>
            </w:pPr>
            <w:r>
              <w:rPr>
                <w:rFonts w:ascii="Arial" w:cs="Arial" w:eastAsia="Arial" w:hAnsi="Arial"/>
                <w:sz w:val="13"/>
                <w:szCs w:val="13"/>
                <w:b w:val="1"/>
                <w:bCs w:val="1"/>
                <w:color w:val="auto"/>
              </w:rPr>
              <w:t>8,393,910</w:t>
            </w:r>
          </w:p>
        </w:tc>
        <w:tc>
          <w:tcPr>
            <w:tcW w:w="120" w:type="dxa"/>
            <w:vAlign w:val="bottom"/>
            <w:tcBorders>
              <w:bottom w:val="single" w:sz="8" w:color="auto"/>
            </w:tcBorders>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1300" w:type="dxa"/>
            <w:vAlign w:val="bottom"/>
            <w:tcBorders>
              <w:bottom w:val="single" w:sz="8" w:color="auto"/>
            </w:tcBorders>
            <w:shd w:val="clear" w:color="auto" w:fill="CFF0FC"/>
          </w:tcPr>
          <w:p>
            <w:pPr>
              <w:jc w:val="right"/>
              <w:ind w:right="33"/>
              <w:spacing w:after="0" w:line="142" w:lineRule="exact"/>
              <w:rPr>
                <w:sz w:val="20"/>
                <w:szCs w:val="20"/>
                <w:color w:val="auto"/>
              </w:rPr>
            </w:pPr>
            <w:r>
              <w:rPr>
                <w:rFonts w:ascii="Arial" w:cs="Arial" w:eastAsia="Arial" w:hAnsi="Arial"/>
                <w:sz w:val="13"/>
                <w:szCs w:val="13"/>
                <w:b w:val="1"/>
                <w:bCs w:val="1"/>
                <w:color w:val="auto"/>
              </w:rPr>
              <w:t>(116,277)</w:t>
            </w:r>
          </w:p>
        </w:tc>
        <w:tc>
          <w:tcPr>
            <w:tcW w:w="2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1040" w:type="dxa"/>
            <w:vAlign w:val="bottom"/>
            <w:tcBorders>
              <w:bottom w:val="single" w:sz="8" w:color="auto"/>
              <w:right w:val="single" w:sz="8" w:color="auto"/>
            </w:tcBorders>
            <w:shd w:val="clear" w:color="auto" w:fill="CFF0FC"/>
          </w:tcPr>
          <w:p>
            <w:pPr>
              <w:jc w:val="right"/>
              <w:ind w:right="133"/>
              <w:spacing w:after="0" w:line="142" w:lineRule="exact"/>
              <w:rPr>
                <w:sz w:val="20"/>
                <w:szCs w:val="20"/>
                <w:color w:val="auto"/>
              </w:rPr>
            </w:pPr>
            <w:r>
              <w:rPr>
                <w:rFonts w:ascii="Arial" w:cs="Arial" w:eastAsia="Arial" w:hAnsi="Arial"/>
                <w:sz w:val="13"/>
                <w:szCs w:val="13"/>
                <w:b w:val="1"/>
                <w:bCs w:val="1"/>
                <w:color w:val="auto"/>
              </w:rPr>
              <w:t>(5,758,625)</w:t>
            </w:r>
          </w:p>
        </w:tc>
        <w:tc>
          <w:tcPr>
            <w:tcW w:w="18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right w:val="single" w:sz="8" w:color="auto"/>
            </w:tcBorders>
            <w:shd w:val="clear" w:color="auto" w:fill="CFF0FC"/>
          </w:tcPr>
          <w:p>
            <w:pPr>
              <w:jc w:val="right"/>
              <w:ind w:right="53"/>
              <w:spacing w:after="0" w:line="142" w:lineRule="exact"/>
              <w:rPr>
                <w:sz w:val="20"/>
                <w:szCs w:val="20"/>
                <w:color w:val="auto"/>
              </w:rPr>
            </w:pPr>
            <w:r>
              <w:rPr>
                <w:rFonts w:ascii="Arial" w:cs="Arial" w:eastAsia="Arial" w:hAnsi="Arial"/>
                <w:sz w:val="13"/>
                <w:szCs w:val="13"/>
                <w:b w:val="1"/>
                <w:bCs w:val="1"/>
                <w:color w:val="auto"/>
              </w:rPr>
              <w:t>2,871,368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-2480945</wp:posOffset>
            </wp:positionV>
            <wp:extent cx="98425" cy="2311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8425" cy="23114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-1991995</wp:posOffset>
            </wp:positionV>
            <wp:extent cx="98425" cy="2311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8425" cy="231140"/>
                    </a:xfrm>
                    <a:prstGeom prst="rect">
                      <a:avLst/>
                    </a:prstGeom>
                    <a:noFill/>
                  </pic:spPr>
                </pic:pic>
              </a:graphicData>
            </a:graphic>
          </wp:anchor>
        </w:drawing>
        <w:drawing>
          <wp:anchor simplePos="0" relativeHeight="251657728" behindDoc="1" locked="0" layoutInCell="0" allowOverlap="1">
            <wp:simplePos x="0" y="0"/>
            <wp:positionH relativeFrom="column">
              <wp:posOffset>2752725</wp:posOffset>
            </wp:positionH>
            <wp:positionV relativeFrom="paragraph">
              <wp:posOffset>-1572260</wp:posOffset>
            </wp:positionV>
            <wp:extent cx="34290" cy="419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1973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-1083945</wp:posOffset>
            </wp:positionV>
            <wp:extent cx="98425" cy="2311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8425" cy="23114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-217805</wp:posOffset>
            </wp:positionV>
            <wp:extent cx="98425" cy="2311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8425" cy="23114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TEGNA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EQUITY AND REDEEMABLE NONCONTROLLING INTEREST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Unaudited, in thousands of dollars,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2752725</wp:posOffset>
            </wp:positionH>
            <wp:positionV relativeFrom="paragraph">
              <wp:posOffset>220980</wp:posOffset>
            </wp:positionV>
            <wp:extent cx="34290" cy="419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19735"/>
                    </a:xfrm>
                    <a:prstGeom prst="rect">
                      <a:avLst/>
                    </a:prstGeom>
                    <a:noFill/>
                  </pic:spPr>
                </pic:pic>
              </a:graphicData>
            </a:graphic>
          </wp:anchor>
        </w:drawing>
      </w:r>
    </w:p>
    <w:p>
      <w:pPr>
        <w:spacing w:after="0" w:line="332"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ind w:right="233"/>
              <w:spacing w:after="0"/>
              <w:rPr>
                <w:sz w:val="20"/>
                <w:szCs w:val="20"/>
                <w:color w:val="auto"/>
              </w:rPr>
            </w:pPr>
            <w:r>
              <w:rPr>
                <w:rFonts w:ascii="Arial" w:cs="Arial" w:eastAsia="Arial" w:hAnsi="Arial"/>
                <w:sz w:val="13"/>
                <w:szCs w:val="13"/>
                <w:b w:val="1"/>
                <w:bCs w:val="1"/>
                <w:color w:val="auto"/>
              </w:rPr>
              <w:t>Redeemable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center"/>
              <w:ind w:right="133"/>
              <w:spacing w:after="0"/>
              <w:rPr>
                <w:sz w:val="20"/>
                <w:szCs w:val="20"/>
                <w:color w:val="auto"/>
              </w:rPr>
            </w:pPr>
            <w:r>
              <w:rPr>
                <w:rFonts w:ascii="Arial" w:cs="Arial" w:eastAsia="Arial" w:hAnsi="Arial"/>
                <w:sz w:val="13"/>
                <w:szCs w:val="13"/>
                <w:b w:val="1"/>
                <w:bCs w:val="1"/>
                <w:color w:val="auto"/>
              </w:rPr>
              <w:t>Common</w:t>
            </w:r>
          </w:p>
        </w:tc>
        <w:tc>
          <w:tcPr>
            <w:tcW w:w="11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Additional paid-</w:t>
            </w:r>
          </w:p>
        </w:tc>
        <w:tc>
          <w:tcPr>
            <w:tcW w:w="120" w:type="dxa"/>
            <w:vAlign w:val="bottom"/>
          </w:tcPr>
          <w:p>
            <w:pPr>
              <w:spacing w:after="0"/>
              <w:rPr>
                <w:sz w:val="13"/>
                <w:szCs w:val="13"/>
                <w:color w:val="auto"/>
              </w:rPr>
            </w:pPr>
          </w:p>
        </w:tc>
        <w:tc>
          <w:tcPr>
            <w:tcW w:w="820" w:type="dxa"/>
            <w:vAlign w:val="bottom"/>
            <w:vMerge w:val="restart"/>
          </w:tcPr>
          <w:p>
            <w:pPr>
              <w:jc w:val="center"/>
              <w:ind w:right="153"/>
              <w:spacing w:after="0"/>
              <w:rPr>
                <w:sz w:val="20"/>
                <w:szCs w:val="20"/>
                <w:color w:val="auto"/>
              </w:rPr>
            </w:pPr>
            <w:r>
              <w:rPr>
                <w:rFonts w:ascii="Arial" w:cs="Arial" w:eastAsia="Arial" w:hAnsi="Arial"/>
                <w:sz w:val="13"/>
                <w:szCs w:val="13"/>
                <w:b w:val="1"/>
                <w:bCs w:val="1"/>
                <w:color w:val="auto"/>
              </w:rPr>
              <w:t>Retained</w:t>
            </w:r>
          </w:p>
        </w:tc>
        <w:tc>
          <w:tcPr>
            <w:tcW w:w="1420" w:type="dxa"/>
            <w:vAlign w:val="bottom"/>
            <w:gridSpan w:val="2"/>
          </w:tcPr>
          <w:p>
            <w:pPr>
              <w:ind w:left="20"/>
              <w:spacing w:after="0"/>
              <w:rPr>
                <w:sz w:val="20"/>
                <w:szCs w:val="20"/>
                <w:color w:val="auto"/>
              </w:rPr>
            </w:pPr>
            <w:r>
              <w:rPr>
                <w:rFonts w:ascii="Arial" w:cs="Arial" w:eastAsia="Arial" w:hAnsi="Arial"/>
                <w:sz w:val="13"/>
                <w:szCs w:val="13"/>
                <w:b w:val="1"/>
                <w:bCs w:val="1"/>
                <w:color w:val="auto"/>
              </w:rPr>
              <w:t>Accumulated other</w:t>
            </w:r>
          </w:p>
        </w:tc>
        <w:tc>
          <w:tcPr>
            <w:tcW w:w="200" w:type="dxa"/>
            <w:vAlign w:val="bottom"/>
          </w:tcPr>
          <w:p>
            <w:pPr>
              <w:spacing w:after="0"/>
              <w:rPr>
                <w:sz w:val="13"/>
                <w:szCs w:val="13"/>
                <w:color w:val="auto"/>
              </w:rPr>
            </w:pPr>
          </w:p>
        </w:tc>
        <w:tc>
          <w:tcPr>
            <w:tcW w:w="1040" w:type="dxa"/>
            <w:vAlign w:val="bottom"/>
            <w:vMerge w:val="restart"/>
          </w:tcPr>
          <w:p>
            <w:pPr>
              <w:jc w:val="center"/>
              <w:ind w:right="333"/>
              <w:spacing w:after="0"/>
              <w:rPr>
                <w:sz w:val="20"/>
                <w:szCs w:val="20"/>
                <w:color w:val="auto"/>
              </w:rPr>
            </w:pPr>
            <w:r>
              <w:rPr>
                <w:rFonts w:ascii="Arial" w:cs="Arial" w:eastAsia="Arial" w:hAnsi="Arial"/>
                <w:sz w:val="13"/>
                <w:szCs w:val="13"/>
                <w:b w:val="1"/>
                <w:bCs w:val="1"/>
                <w:color w:val="auto"/>
              </w:rPr>
              <w:t>Treasury</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00" w:type="dxa"/>
            <w:vAlign w:val="bottom"/>
            <w:vMerge w:val="restart"/>
          </w:tcPr>
          <w:p>
            <w:pPr>
              <w:spacing w:after="0"/>
              <w:rPr>
                <w:sz w:val="20"/>
                <w:szCs w:val="20"/>
                <w:color w:val="auto"/>
              </w:rPr>
            </w:pPr>
            <w:r>
              <w:rPr>
                <w:rFonts w:ascii="Arial" w:cs="Arial" w:eastAsia="Arial" w:hAnsi="Arial"/>
                <w:sz w:val="13"/>
                <w:szCs w:val="13"/>
                <w:b w:val="1"/>
                <w:bCs w:val="1"/>
                <w:color w:val="auto"/>
              </w:rPr>
              <w:t>Nine Months Ended:</w:t>
            </w:r>
          </w:p>
        </w:tc>
        <w:tc>
          <w:tcPr>
            <w:tcW w:w="120" w:type="dxa"/>
            <w:vAlign w:val="bottom"/>
          </w:tcPr>
          <w:p>
            <w:pPr>
              <w:spacing w:after="0"/>
              <w:rPr>
                <w:sz w:val="12"/>
                <w:szCs w:val="12"/>
                <w:color w:val="auto"/>
              </w:rPr>
            </w:pPr>
          </w:p>
        </w:tc>
        <w:tc>
          <w:tcPr>
            <w:tcW w:w="1320" w:type="dxa"/>
            <w:vAlign w:val="bottom"/>
          </w:tcPr>
          <w:p>
            <w:pPr>
              <w:jc w:val="center"/>
              <w:ind w:right="233"/>
              <w:spacing w:after="0"/>
              <w:rPr>
                <w:sz w:val="20"/>
                <w:szCs w:val="20"/>
                <w:color w:val="auto"/>
              </w:rPr>
            </w:pPr>
            <w:r>
              <w:rPr>
                <w:rFonts w:ascii="Arial" w:cs="Arial" w:eastAsia="Arial" w:hAnsi="Arial"/>
                <w:sz w:val="13"/>
                <w:szCs w:val="13"/>
                <w:b w:val="1"/>
                <w:bCs w:val="1"/>
                <w:color w:val="auto"/>
              </w:rPr>
              <w:t>noncontrolling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213"/>
              <w:spacing w:after="0"/>
              <w:rPr>
                <w:sz w:val="20"/>
                <w:szCs w:val="20"/>
                <w:color w:val="auto"/>
              </w:rPr>
            </w:pPr>
            <w:r>
              <w:rPr>
                <w:rFonts w:ascii="Arial" w:cs="Arial" w:eastAsia="Arial" w:hAnsi="Arial"/>
                <w:sz w:val="13"/>
                <w:szCs w:val="13"/>
                <w:b w:val="1"/>
                <w:bCs w:val="1"/>
                <w:color w:val="auto"/>
              </w:rPr>
              <w:t>comprehensive</w:t>
            </w: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0" w:type="dxa"/>
            <w:vAlign w:val="bottom"/>
            <w:gridSpan w:val="2"/>
            <w:vMerge w:val="restart"/>
          </w:tcPr>
          <w:p>
            <w:pPr>
              <w:jc w:val="right"/>
              <w:ind w:right="113"/>
              <w:spacing w:after="0"/>
              <w:rPr>
                <w:sz w:val="20"/>
                <w:szCs w:val="20"/>
                <w:color w:val="auto"/>
              </w:rPr>
            </w:pPr>
            <w:r>
              <w:rPr>
                <w:rFonts w:ascii="Arial" w:cs="Arial" w:eastAsia="Arial" w:hAnsi="Arial"/>
                <w:sz w:val="13"/>
                <w:szCs w:val="13"/>
                <w:b w:val="1"/>
                <w:bCs w:val="1"/>
                <w:color w:val="auto"/>
              </w:rPr>
              <w:t>Total Equity</w:t>
            </w:r>
          </w:p>
        </w:tc>
        <w:tc>
          <w:tcPr>
            <w:tcW w:w="0" w:type="dxa"/>
            <w:vAlign w:val="bottom"/>
          </w:tcPr>
          <w:p>
            <w:pPr>
              <w:spacing w:after="0"/>
              <w:rPr>
                <w:sz w:val="1"/>
                <w:szCs w:val="1"/>
                <w:color w:val="auto"/>
              </w:rPr>
            </w:pPr>
          </w:p>
        </w:tc>
      </w:tr>
      <w:tr>
        <w:trPr>
          <w:trHeight w:val="163"/>
        </w:trPr>
        <w:tc>
          <w:tcPr>
            <w:tcW w:w="28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93"/>
              <w:spacing w:after="0"/>
              <w:rPr>
                <w:sz w:val="20"/>
                <w:szCs w:val="20"/>
                <w:color w:val="auto"/>
              </w:rPr>
            </w:pPr>
            <w:r>
              <w:rPr>
                <w:rFonts w:ascii="Arial" w:cs="Arial" w:eastAsia="Arial" w:hAnsi="Arial"/>
                <w:sz w:val="13"/>
                <w:szCs w:val="13"/>
                <w:b w:val="1"/>
                <w:bCs w:val="1"/>
                <w:color w:val="auto"/>
              </w:rPr>
              <w:t>interest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w w:val="99"/>
              </w:rPr>
              <w:t>stock</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in capital</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13"/>
              <w:spacing w:after="0"/>
              <w:rPr>
                <w:sz w:val="20"/>
                <w:szCs w:val="20"/>
                <w:color w:val="auto"/>
              </w:rPr>
            </w:pPr>
            <w:r>
              <w:rPr>
                <w:rFonts w:ascii="Arial" w:cs="Arial" w:eastAsia="Arial" w:hAnsi="Arial"/>
                <w:sz w:val="13"/>
                <w:szCs w:val="13"/>
                <w:b w:val="1"/>
                <w:bCs w:val="1"/>
                <w:color w:val="auto"/>
              </w:rPr>
              <w:t>earnings</w:t>
            </w: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73"/>
              <w:spacing w:after="0"/>
              <w:rPr>
                <w:sz w:val="20"/>
                <w:szCs w:val="20"/>
                <w:color w:val="auto"/>
              </w:rPr>
            </w:pPr>
            <w:r>
              <w:rPr>
                <w:rFonts w:ascii="Arial" w:cs="Arial" w:eastAsia="Arial" w:hAnsi="Arial"/>
                <w:sz w:val="13"/>
                <w:szCs w:val="13"/>
                <w:b w:val="1"/>
                <w:bCs w:val="1"/>
                <w:color w:val="auto"/>
                <w:w w:val="99"/>
              </w:rPr>
              <w:t>loss</w:t>
            </w: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93"/>
              <w:spacing w:after="0"/>
              <w:rPr>
                <w:sz w:val="20"/>
                <w:szCs w:val="20"/>
                <w:color w:val="auto"/>
              </w:rPr>
            </w:pPr>
            <w:r>
              <w:rPr>
                <w:rFonts w:ascii="Arial" w:cs="Arial" w:eastAsia="Arial" w:hAnsi="Arial"/>
                <w:sz w:val="13"/>
                <w:szCs w:val="13"/>
                <w:b w:val="1"/>
                <w:bCs w:val="1"/>
                <w:color w:val="auto"/>
              </w:rPr>
              <w:t>stock</w:t>
            </w:r>
          </w:p>
        </w:tc>
        <w:tc>
          <w:tcPr>
            <w:tcW w:w="100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tcBorders>
              <w:left w:val="single" w:sz="8" w:color="auto"/>
              <w:bottom w:val="single" w:sz="8" w:color="auto"/>
              <w:right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Balance as of Dec. 31, 2024</w:t>
            </w: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32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Arial" w:cs="Arial" w:eastAsia="Arial" w:hAnsi="Arial"/>
                <w:sz w:val="13"/>
                <w:szCs w:val="13"/>
                <w:b w:val="1"/>
                <w:bCs w:val="1"/>
                <w:color w:val="auto"/>
              </w:rPr>
              <w:t>20,317</w:t>
            </w:r>
          </w:p>
        </w:tc>
        <w:tc>
          <w:tcPr>
            <w:tcW w:w="1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324,419</w:t>
            </w:r>
          </w:p>
        </w:tc>
        <w:tc>
          <w:tcPr>
            <w:tcW w:w="22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3"/>
                <w:szCs w:val="13"/>
                <w:b w:val="1"/>
                <w:bCs w:val="1"/>
                <w:color w:val="auto"/>
              </w:rPr>
              <w:t>27,941</w:t>
            </w: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b w:val="1"/>
                <w:bCs w:val="1"/>
                <w:color w:val="auto"/>
              </w:rPr>
              <w:t>8,549,717</w:t>
            </w:r>
          </w:p>
        </w:tc>
        <w:tc>
          <w:tcPr>
            <w:tcW w:w="1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13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b w:val="1"/>
                <w:bCs w:val="1"/>
                <w:color w:val="auto"/>
              </w:rPr>
              <w:t>(106,644)</w:t>
            </w: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1040" w:type="dxa"/>
            <w:vAlign w:val="bottom"/>
            <w:tcBorders>
              <w:bottom w:val="single" w:sz="8" w:color="auto"/>
              <w:right w:val="single" w:sz="8" w:color="auto"/>
            </w:tcBorders>
          </w:tcPr>
          <w:p>
            <w:pPr>
              <w:jc w:val="right"/>
              <w:ind w:right="133"/>
              <w:spacing w:after="0" w:line="142" w:lineRule="exact"/>
              <w:rPr>
                <w:sz w:val="20"/>
                <w:szCs w:val="20"/>
                <w:color w:val="auto"/>
              </w:rPr>
            </w:pPr>
            <w:r>
              <w:rPr>
                <w:rFonts w:ascii="Arial" w:cs="Arial" w:eastAsia="Arial" w:hAnsi="Arial"/>
                <w:sz w:val="13"/>
                <w:szCs w:val="13"/>
                <w:b w:val="1"/>
                <w:bCs w:val="1"/>
                <w:color w:val="auto"/>
              </w:rPr>
              <w:t>(5,790,719)</w:t>
            </w:r>
          </w:p>
        </w:tc>
        <w:tc>
          <w:tcPr>
            <w:tcW w:w="180" w:type="dxa"/>
            <w:vAlign w:val="bottom"/>
            <w:tcBorders>
              <w:bottom w:val="single" w:sz="8" w:color="auto"/>
            </w:tcBorders>
          </w:tcPr>
          <w:p>
            <w:pPr>
              <w:jc w:val="right"/>
              <w:ind w:right="64"/>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Arial" w:cs="Arial" w:eastAsia="Arial" w:hAnsi="Arial"/>
                <w:sz w:val="13"/>
                <w:szCs w:val="13"/>
                <w:b w:val="1"/>
                <w:bCs w:val="1"/>
                <w:color w:val="auto"/>
              </w:rPr>
              <w:t>3,004,714</w:t>
            </w:r>
          </w:p>
        </w:tc>
        <w:tc>
          <w:tcPr>
            <w:tcW w:w="0" w:type="dxa"/>
            <w:vAlign w:val="bottom"/>
          </w:tcPr>
          <w:p>
            <w:pPr>
              <w:spacing w:after="0"/>
              <w:rPr>
                <w:sz w:val="1"/>
                <w:szCs w:val="1"/>
                <w:color w:val="auto"/>
              </w:rPr>
            </w:pPr>
          </w:p>
        </w:tc>
      </w:tr>
      <w:tr>
        <w:trPr>
          <w:trHeight w:val="142"/>
        </w:trPr>
        <w:tc>
          <w:tcPr>
            <w:tcW w:w="2800" w:type="dxa"/>
            <w:vAlign w:val="bottom"/>
            <w:tcBorders>
              <w:left w:val="single" w:sz="8" w:color="CFF0FC"/>
              <w:right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Net (loss) income</w:t>
            </w:r>
          </w:p>
        </w:tc>
        <w:tc>
          <w:tcPr>
            <w:tcW w:w="120" w:type="dxa"/>
            <w:vAlign w:val="bottom"/>
            <w:shd w:val="clear" w:color="auto" w:fill="CFF0FC"/>
          </w:tcPr>
          <w:p>
            <w:pPr>
              <w:spacing w:after="0"/>
              <w:rPr>
                <w:sz w:val="12"/>
                <w:szCs w:val="12"/>
                <w:color w:val="auto"/>
              </w:rPr>
            </w:pPr>
          </w:p>
        </w:tc>
        <w:tc>
          <w:tcPr>
            <w:tcW w:w="1320" w:type="dxa"/>
            <w:vAlign w:val="bottom"/>
            <w:tcBorders>
              <w:right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(384)</w:t>
            </w:r>
          </w:p>
        </w:tc>
        <w:tc>
          <w:tcPr>
            <w:tcW w:w="140" w:type="dxa"/>
            <w:vAlign w:val="bottom"/>
            <w:tcBorders>
              <w:right w:val="single" w:sz="8" w:color="auto"/>
            </w:tcBorders>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13"/>
              <w:spacing w:after="0" w:line="142"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33"/>
              <w:spacing w:after="0" w:line="142" w:lineRule="exact"/>
              <w:rPr>
                <w:sz w:val="20"/>
                <w:szCs w:val="20"/>
                <w:color w:val="auto"/>
              </w:rPr>
            </w:pPr>
            <w:r>
              <w:rPr>
                <w:rFonts w:ascii="Arial" w:cs="Arial" w:eastAsia="Arial" w:hAnsi="Arial"/>
                <w:sz w:val="13"/>
                <w:szCs w:val="13"/>
                <w:color w:val="auto"/>
              </w:rPr>
              <w:t>163,709</w:t>
            </w:r>
          </w:p>
        </w:tc>
        <w:tc>
          <w:tcPr>
            <w:tcW w:w="120" w:type="dxa"/>
            <w:vAlign w:val="bottom"/>
            <w:shd w:val="clear" w:color="auto" w:fill="CFF0FC"/>
          </w:tcPr>
          <w:p>
            <w:pPr>
              <w:spacing w:after="0"/>
              <w:rPr>
                <w:sz w:val="12"/>
                <w:szCs w:val="12"/>
                <w:color w:val="auto"/>
              </w:rPr>
            </w:pPr>
          </w:p>
        </w:tc>
        <w:tc>
          <w:tcPr>
            <w:tcW w:w="1300" w:type="dxa"/>
            <w:vAlign w:val="bottom"/>
            <w:shd w:val="clear" w:color="auto" w:fill="CFF0FC"/>
          </w:tcPr>
          <w:p>
            <w:pPr>
              <w:jc w:val="right"/>
              <w:ind w:right="73"/>
              <w:spacing w:after="0" w:line="142"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040" w:type="dxa"/>
            <w:vAlign w:val="bottom"/>
            <w:tcBorders>
              <w:right w:val="single" w:sz="8" w:color="auto"/>
            </w:tcBorders>
            <w:shd w:val="clear" w:color="auto" w:fill="CFF0FC"/>
          </w:tcPr>
          <w:p>
            <w:pPr>
              <w:jc w:val="right"/>
              <w:ind w:right="193"/>
              <w:spacing w:after="0" w:line="142"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820" w:type="dxa"/>
            <w:vAlign w:val="bottom"/>
            <w:tcBorders>
              <w:right w:val="single" w:sz="8" w:color="auto"/>
            </w:tcBorders>
            <w:shd w:val="clear" w:color="auto" w:fill="CFF0FC"/>
          </w:tcPr>
          <w:p>
            <w:pPr>
              <w:jc w:val="right"/>
              <w:ind w:right="53"/>
              <w:spacing w:after="0" w:line="142" w:lineRule="exact"/>
              <w:rPr>
                <w:sz w:val="20"/>
                <w:szCs w:val="20"/>
                <w:color w:val="auto"/>
              </w:rPr>
            </w:pPr>
            <w:r>
              <w:rPr>
                <w:rFonts w:ascii="Arial" w:cs="Arial" w:eastAsia="Arial" w:hAnsi="Arial"/>
                <w:sz w:val="13"/>
                <w:szCs w:val="13"/>
                <w:color w:val="auto"/>
              </w:rPr>
              <w:t>163,709</w:t>
            </w:r>
          </w:p>
        </w:tc>
        <w:tc>
          <w:tcPr>
            <w:tcW w:w="0" w:type="dxa"/>
            <w:vAlign w:val="bottom"/>
          </w:tcPr>
          <w:p>
            <w:pPr>
              <w:spacing w:after="0"/>
              <w:rPr>
                <w:sz w:val="1"/>
                <w:szCs w:val="1"/>
                <w:color w:val="auto"/>
              </w:rPr>
            </w:pPr>
          </w:p>
        </w:tc>
      </w:tr>
      <w:tr>
        <w:trPr>
          <w:trHeight w:val="148"/>
        </w:trPr>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Other comprehensive income, net of tax</w:t>
            </w:r>
          </w:p>
        </w:tc>
        <w:tc>
          <w:tcPr>
            <w:tcW w:w="120" w:type="dxa"/>
            <w:vAlign w:val="bottom"/>
            <w:tcBorders>
              <w:bottom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2,608</w:t>
            </w: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right"/>
              <w:ind w:right="19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color w:val="auto"/>
              </w:rPr>
              <w:t>2,608</w:t>
            </w:r>
          </w:p>
        </w:tc>
        <w:tc>
          <w:tcPr>
            <w:tcW w:w="0" w:type="dxa"/>
            <w:vAlign w:val="bottom"/>
          </w:tcPr>
          <w:p>
            <w:pPr>
              <w:spacing w:after="0"/>
              <w:rPr>
                <w:sz w:val="1"/>
                <w:szCs w:val="1"/>
                <w:color w:val="auto"/>
              </w:rPr>
            </w:pPr>
          </w:p>
        </w:tc>
      </w:tr>
      <w:tr>
        <w:trPr>
          <w:trHeight w:val="142"/>
        </w:trPr>
        <w:tc>
          <w:tcPr>
            <w:tcW w:w="2800" w:type="dxa"/>
            <w:vAlign w:val="bottom"/>
            <w:tcBorders>
              <w:left w:val="single" w:sz="8" w:color="auto"/>
              <w:bottom w:val="single" w:sz="8" w:color="auto"/>
              <w:right w:val="single" w:sz="8" w:color="auto"/>
            </w:tcBorders>
            <w:shd w:val="clear" w:color="auto" w:fill="CFF0FC"/>
          </w:tcPr>
          <w:p>
            <w:pPr>
              <w:ind w:left="20"/>
              <w:spacing w:after="0" w:line="142" w:lineRule="exact"/>
              <w:rPr>
                <w:sz w:val="20"/>
                <w:szCs w:val="20"/>
                <w:color w:val="auto"/>
              </w:rPr>
            </w:pPr>
            <w:r>
              <w:rPr>
                <w:rFonts w:ascii="Arial" w:cs="Arial" w:eastAsia="Arial" w:hAnsi="Arial"/>
                <w:sz w:val="13"/>
                <w:szCs w:val="13"/>
                <w:i w:val="1"/>
                <w:iCs w:val="1"/>
                <w:color w:val="auto"/>
              </w:rPr>
              <w:t>Total comprehensive income</w:t>
            </w:r>
          </w:p>
        </w:tc>
        <w:tc>
          <w:tcPr>
            <w:tcW w:w="12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right w:val="single" w:sz="8" w:color="auto"/>
            </w:tcBorders>
            <w:shd w:val="clear" w:color="auto" w:fill="CFF0FC"/>
          </w:tcPr>
          <w:p>
            <w:pPr>
              <w:spacing w:after="0"/>
              <w:rPr>
                <w:sz w:val="12"/>
                <w:szCs w:val="12"/>
                <w:color w:val="auto"/>
              </w:rPr>
            </w:pPr>
          </w:p>
        </w:tc>
        <w:tc>
          <w:tcPr>
            <w:tcW w:w="140" w:type="dxa"/>
            <w:vAlign w:val="bottom"/>
            <w:tcBorders>
              <w:bottom w:val="single" w:sz="8" w:color="CFF0FC"/>
              <w:right w:val="single" w:sz="8" w:color="CFF0FC"/>
            </w:tcBorders>
            <w:shd w:val="clear" w:color="auto" w:fill="CFF0FC"/>
          </w:tcPr>
          <w:p>
            <w:pPr>
              <w:spacing w:after="0"/>
              <w:rPr>
                <w:sz w:val="12"/>
                <w:szCs w:val="12"/>
                <w:color w:val="auto"/>
              </w:rPr>
            </w:pPr>
          </w:p>
        </w:tc>
        <w:tc>
          <w:tcPr>
            <w:tcW w:w="120" w:type="dxa"/>
            <w:vAlign w:val="bottom"/>
            <w:tcBorders>
              <w:bottom w:val="single" w:sz="8" w:color="CFF0FC"/>
              <w:right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right w:val="single" w:sz="8" w:color="auto"/>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right w:val="single" w:sz="8" w:color="auto"/>
            </w:tcBorders>
            <w:shd w:val="clear" w:color="auto" w:fill="CFF0FC"/>
          </w:tcPr>
          <w:p>
            <w:pPr>
              <w:jc w:val="right"/>
              <w:ind w:right="53"/>
              <w:spacing w:after="0" w:line="142" w:lineRule="exact"/>
              <w:rPr>
                <w:sz w:val="20"/>
                <w:szCs w:val="20"/>
                <w:color w:val="auto"/>
              </w:rPr>
            </w:pPr>
            <w:r>
              <w:rPr>
                <w:rFonts w:ascii="Arial" w:cs="Arial" w:eastAsia="Arial" w:hAnsi="Arial"/>
                <w:sz w:val="13"/>
                <w:szCs w:val="13"/>
                <w:color w:val="auto"/>
              </w:rPr>
              <w:t>166,317</w:t>
            </w:r>
          </w:p>
        </w:tc>
        <w:tc>
          <w:tcPr>
            <w:tcW w:w="0" w:type="dxa"/>
            <w:vAlign w:val="bottom"/>
          </w:tcPr>
          <w:p>
            <w:pPr>
              <w:spacing w:after="0"/>
              <w:rPr>
                <w:sz w:val="1"/>
                <w:szCs w:val="1"/>
                <w:color w:val="auto"/>
              </w:rPr>
            </w:pPr>
          </w:p>
        </w:tc>
      </w:tr>
      <w:tr>
        <w:trPr>
          <w:trHeight w:val="142"/>
        </w:trPr>
        <w:tc>
          <w:tcPr>
            <w:tcW w:w="2800" w:type="dxa"/>
            <w:vAlign w:val="bottom"/>
            <w:tcBorders>
              <w:right w:val="single" w:sz="8" w:color="auto"/>
            </w:tcBorders>
          </w:tcPr>
          <w:p>
            <w:pPr>
              <w:spacing w:after="0" w:line="142" w:lineRule="exact"/>
              <w:rPr>
                <w:sz w:val="20"/>
                <w:szCs w:val="20"/>
                <w:color w:val="auto"/>
              </w:rPr>
            </w:pPr>
            <w:r>
              <w:rPr>
                <w:rFonts w:ascii="Arial" w:cs="Arial" w:eastAsia="Arial" w:hAnsi="Arial"/>
                <w:sz w:val="13"/>
                <w:szCs w:val="13"/>
                <w:color w:val="auto"/>
              </w:rPr>
              <w:t>Dividends declared: $0.375 per share</w:t>
            </w:r>
          </w:p>
        </w:tc>
        <w:tc>
          <w:tcPr>
            <w:tcW w:w="120" w:type="dxa"/>
            <w:vAlign w:val="bottom"/>
          </w:tcPr>
          <w:p>
            <w:pPr>
              <w:spacing w:after="0"/>
              <w:rPr>
                <w:sz w:val="12"/>
                <w:szCs w:val="12"/>
                <w:color w:val="auto"/>
              </w:rPr>
            </w:pPr>
          </w:p>
        </w:tc>
        <w:tc>
          <w:tcPr>
            <w:tcW w:w="1320" w:type="dxa"/>
            <w:vAlign w:val="bottom"/>
            <w:tcBorders>
              <w:right w:val="single" w:sz="8" w:color="auto"/>
            </w:tcBorders>
          </w:tcPr>
          <w:p>
            <w:pPr>
              <w:jc w:val="right"/>
              <w:ind w:right="53"/>
              <w:spacing w:after="0" w:line="142" w:lineRule="exact"/>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960" w:type="dxa"/>
            <w:vAlign w:val="bottom"/>
          </w:tcPr>
          <w:p>
            <w:pPr>
              <w:jc w:val="right"/>
              <w:ind w:right="13"/>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3"/>
                <w:szCs w:val="13"/>
                <w:color w:val="auto"/>
              </w:rPr>
              <w:t>(60,326)</w:t>
            </w:r>
          </w:p>
        </w:tc>
        <w:tc>
          <w:tcPr>
            <w:tcW w:w="120" w:type="dxa"/>
            <w:vAlign w:val="bottom"/>
          </w:tcPr>
          <w:p>
            <w:pPr>
              <w:spacing w:after="0"/>
              <w:rPr>
                <w:sz w:val="12"/>
                <w:szCs w:val="12"/>
                <w:color w:val="auto"/>
              </w:rPr>
            </w:pPr>
          </w:p>
        </w:tc>
        <w:tc>
          <w:tcPr>
            <w:tcW w:w="1300" w:type="dxa"/>
            <w:vAlign w:val="bottom"/>
          </w:tcPr>
          <w:p>
            <w:pPr>
              <w:jc w:val="right"/>
              <w:ind w:right="73"/>
              <w:spacing w:after="0" w:line="142"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40" w:type="dxa"/>
            <w:vAlign w:val="bottom"/>
            <w:tcBorders>
              <w:right w:val="single" w:sz="8" w:color="auto"/>
            </w:tcBorders>
          </w:tcPr>
          <w:p>
            <w:pPr>
              <w:jc w:val="right"/>
              <w:ind w:right="193"/>
              <w:spacing w:after="0" w:line="142"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tcBorders>
              <w:right w:val="single" w:sz="8" w:color="auto"/>
            </w:tcBorders>
          </w:tcPr>
          <w:p>
            <w:pPr>
              <w:jc w:val="right"/>
              <w:spacing w:after="0" w:line="142" w:lineRule="exact"/>
              <w:rPr>
                <w:sz w:val="20"/>
                <w:szCs w:val="20"/>
                <w:color w:val="auto"/>
              </w:rPr>
            </w:pPr>
            <w:r>
              <w:rPr>
                <w:rFonts w:ascii="Arial" w:cs="Arial" w:eastAsia="Arial" w:hAnsi="Arial"/>
                <w:sz w:val="13"/>
                <w:szCs w:val="13"/>
                <w:color w:val="auto"/>
              </w:rPr>
              <w:t>(60,326)</w:t>
            </w:r>
          </w:p>
        </w:tc>
        <w:tc>
          <w:tcPr>
            <w:tcW w:w="0" w:type="dxa"/>
            <w:vAlign w:val="bottom"/>
          </w:tcPr>
          <w:p>
            <w:pPr>
              <w:spacing w:after="0"/>
              <w:rPr>
                <w:sz w:val="1"/>
                <w:szCs w:val="1"/>
                <w:color w:val="auto"/>
              </w:rPr>
            </w:pPr>
          </w:p>
        </w:tc>
      </w:tr>
      <w:tr>
        <w:trPr>
          <w:trHeight w:val="149"/>
        </w:trPr>
        <w:tc>
          <w:tcPr>
            <w:tcW w:w="2800" w:type="dxa"/>
            <w:vAlign w:val="bottom"/>
            <w:tcBorders>
              <w:left w:val="single" w:sz="8" w:color="CFF0FC"/>
              <w:right w:val="single" w:sz="8" w:color="auto"/>
            </w:tcBorders>
            <w:shd w:val="clear" w:color="auto" w:fill="CFF0FC"/>
          </w:tcPr>
          <w:p>
            <w:pPr>
              <w:spacing w:after="0"/>
              <w:rPr>
                <w:sz w:val="20"/>
                <w:szCs w:val="20"/>
                <w:color w:val="auto"/>
              </w:rPr>
            </w:pPr>
            <w:r>
              <w:rPr>
                <w:rFonts w:ascii="Arial" w:cs="Arial" w:eastAsia="Arial" w:hAnsi="Arial"/>
                <w:sz w:val="13"/>
                <w:szCs w:val="13"/>
                <w:color w:val="auto"/>
              </w:rPr>
              <w:t>Stock-based awards activity</w:t>
            </w:r>
          </w:p>
        </w:tc>
        <w:tc>
          <w:tcPr>
            <w:tcW w:w="120" w:type="dxa"/>
            <w:vAlign w:val="bottom"/>
            <w:shd w:val="clear" w:color="auto" w:fill="CFF0FC"/>
          </w:tcPr>
          <w:p>
            <w:pPr>
              <w:spacing w:after="0"/>
              <w:rPr>
                <w:sz w:val="12"/>
                <w:szCs w:val="12"/>
                <w:color w:val="auto"/>
              </w:rPr>
            </w:pPr>
          </w:p>
        </w:tc>
        <w:tc>
          <w:tcPr>
            <w:tcW w:w="1320" w:type="dxa"/>
            <w:vAlign w:val="bottom"/>
            <w:tcBorders>
              <w:right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(21,592)</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(66,875)</w:t>
            </w:r>
          </w:p>
        </w:tc>
        <w:tc>
          <w:tcPr>
            <w:tcW w:w="120" w:type="dxa"/>
            <w:vAlign w:val="bottom"/>
            <w:shd w:val="clear" w:color="auto" w:fill="CFF0FC"/>
          </w:tcPr>
          <w:p>
            <w:pPr>
              <w:spacing w:after="0"/>
              <w:rPr>
                <w:sz w:val="12"/>
                <w:szCs w:val="12"/>
                <w:color w:val="auto"/>
              </w:rPr>
            </w:pPr>
          </w:p>
        </w:tc>
        <w:tc>
          <w:tcPr>
            <w:tcW w:w="130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040" w:type="dxa"/>
            <w:vAlign w:val="bottom"/>
            <w:tcBorders>
              <w:right w:val="single" w:sz="8" w:color="auto"/>
            </w:tcBorders>
            <w:shd w:val="clear" w:color="auto" w:fill="CFF0FC"/>
          </w:tcPr>
          <w:p>
            <w:pPr>
              <w:jc w:val="right"/>
              <w:ind w:right="193"/>
              <w:spacing w:after="0"/>
              <w:rPr>
                <w:sz w:val="20"/>
                <w:szCs w:val="20"/>
                <w:color w:val="auto"/>
              </w:rPr>
            </w:pPr>
            <w:r>
              <w:rPr>
                <w:rFonts w:ascii="Arial" w:cs="Arial" w:eastAsia="Arial" w:hAnsi="Arial"/>
                <w:sz w:val="13"/>
                <w:szCs w:val="13"/>
                <w:color w:val="auto"/>
              </w:rPr>
              <w:t>75,772</w:t>
            </w:r>
          </w:p>
        </w:tc>
        <w:tc>
          <w:tcPr>
            <w:tcW w:w="180" w:type="dxa"/>
            <w:vAlign w:val="bottom"/>
            <w:shd w:val="clear" w:color="auto" w:fill="CFF0FC"/>
          </w:tcPr>
          <w:p>
            <w:pPr>
              <w:spacing w:after="0"/>
              <w:rPr>
                <w:sz w:val="12"/>
                <w:szCs w:val="12"/>
                <w:color w:val="auto"/>
              </w:rPr>
            </w:pPr>
          </w:p>
        </w:tc>
        <w:tc>
          <w:tcPr>
            <w:tcW w:w="82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(12,695)</w:t>
            </w:r>
          </w:p>
        </w:tc>
        <w:tc>
          <w:tcPr>
            <w:tcW w:w="0" w:type="dxa"/>
            <w:vAlign w:val="bottom"/>
          </w:tcPr>
          <w:p>
            <w:pPr>
              <w:spacing w:after="0"/>
              <w:rPr>
                <w:sz w:val="1"/>
                <w:szCs w:val="1"/>
                <w:color w:val="auto"/>
              </w:rPr>
            </w:pPr>
          </w:p>
        </w:tc>
      </w:tr>
      <w:tr>
        <w:trPr>
          <w:trHeight w:val="136"/>
        </w:trPr>
        <w:tc>
          <w:tcPr>
            <w:tcW w:w="2800" w:type="dxa"/>
            <w:vAlign w:val="bottom"/>
            <w:tcBorders>
              <w:right w:val="single" w:sz="8" w:color="auto"/>
            </w:tcBorders>
          </w:tcPr>
          <w:p>
            <w:pPr>
              <w:spacing w:after="0" w:line="136" w:lineRule="exact"/>
              <w:rPr>
                <w:sz w:val="20"/>
                <w:szCs w:val="20"/>
                <w:color w:val="auto"/>
              </w:rPr>
            </w:pPr>
            <w:r>
              <w:rPr>
                <w:rFonts w:ascii="Arial" w:cs="Arial" w:eastAsia="Arial" w:hAnsi="Arial"/>
                <w:sz w:val="13"/>
                <w:szCs w:val="13"/>
                <w:color w:val="auto"/>
              </w:rPr>
              <w:t>Employee stock-based compensation</w:t>
            </w:r>
          </w:p>
        </w:tc>
        <w:tc>
          <w:tcPr>
            <w:tcW w:w="120" w:type="dxa"/>
            <w:vAlign w:val="bottom"/>
          </w:tcPr>
          <w:p>
            <w:pPr>
              <w:spacing w:after="0"/>
              <w:rPr>
                <w:sz w:val="11"/>
                <w:szCs w:val="11"/>
                <w:color w:val="auto"/>
              </w:rPr>
            </w:pPr>
          </w:p>
        </w:tc>
        <w:tc>
          <w:tcPr>
            <w:tcW w:w="1320" w:type="dxa"/>
            <w:vAlign w:val="bottom"/>
            <w:tcBorders>
              <w:right w:val="single" w:sz="8" w:color="auto"/>
            </w:tcBorders>
          </w:tcPr>
          <w:p>
            <w:pPr>
              <w:jc w:val="right"/>
              <w:ind w:right="53"/>
              <w:spacing w:after="0" w:line="136" w:lineRule="exact"/>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960" w:type="dxa"/>
            <w:vAlign w:val="bottom"/>
          </w:tcPr>
          <w:p>
            <w:pPr>
              <w:jc w:val="right"/>
              <w:ind w:right="13"/>
              <w:spacing w:after="0" w:line="136" w:lineRule="exact"/>
              <w:rPr>
                <w:sz w:val="20"/>
                <w:szCs w:val="20"/>
                <w:color w:val="auto"/>
              </w:rPr>
            </w:pPr>
            <w:r>
              <w:rPr>
                <w:rFonts w:ascii="Arial" w:cs="Arial" w:eastAsia="Arial" w:hAnsi="Arial"/>
                <w:sz w:val="13"/>
                <w:szCs w:val="13"/>
                <w:color w:val="auto"/>
              </w:rPr>
              <w:t>20,530</w:t>
            </w:r>
          </w:p>
        </w:tc>
        <w:tc>
          <w:tcPr>
            <w:tcW w:w="120" w:type="dxa"/>
            <w:vAlign w:val="bottom"/>
          </w:tcPr>
          <w:p>
            <w:pPr>
              <w:spacing w:after="0"/>
              <w:rPr>
                <w:sz w:val="11"/>
                <w:szCs w:val="11"/>
                <w:color w:val="auto"/>
              </w:rPr>
            </w:pPr>
          </w:p>
        </w:tc>
        <w:tc>
          <w:tcPr>
            <w:tcW w:w="820" w:type="dxa"/>
            <w:vAlign w:val="bottom"/>
          </w:tcPr>
          <w:p>
            <w:pPr>
              <w:jc w:val="right"/>
              <w:ind w:right="33"/>
              <w:spacing w:after="0" w:line="13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300" w:type="dxa"/>
            <w:vAlign w:val="bottom"/>
          </w:tcPr>
          <w:p>
            <w:pPr>
              <w:jc w:val="right"/>
              <w:ind w:right="73"/>
              <w:spacing w:after="0" w:line="13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040" w:type="dxa"/>
            <w:vAlign w:val="bottom"/>
            <w:tcBorders>
              <w:right w:val="single" w:sz="8" w:color="auto"/>
            </w:tcBorders>
          </w:tcPr>
          <w:p>
            <w:pPr>
              <w:jc w:val="right"/>
              <w:ind w:right="193"/>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20" w:type="dxa"/>
            <w:vAlign w:val="bottom"/>
            <w:tcBorders>
              <w:right w:val="single" w:sz="8" w:color="auto"/>
            </w:tcBorders>
          </w:tcPr>
          <w:p>
            <w:pPr>
              <w:jc w:val="right"/>
              <w:ind w:right="53"/>
              <w:spacing w:after="0" w:line="136" w:lineRule="exact"/>
              <w:rPr>
                <w:sz w:val="20"/>
                <w:szCs w:val="20"/>
                <w:color w:val="auto"/>
              </w:rPr>
            </w:pPr>
            <w:r>
              <w:rPr>
                <w:rFonts w:ascii="Arial" w:cs="Arial" w:eastAsia="Arial" w:hAnsi="Arial"/>
                <w:sz w:val="13"/>
                <w:szCs w:val="13"/>
                <w:color w:val="auto"/>
              </w:rPr>
              <w:t>20,530</w:t>
            </w:r>
          </w:p>
        </w:tc>
        <w:tc>
          <w:tcPr>
            <w:tcW w:w="0" w:type="dxa"/>
            <w:vAlign w:val="bottom"/>
          </w:tcPr>
          <w:p>
            <w:pPr>
              <w:spacing w:after="0"/>
              <w:rPr>
                <w:sz w:val="1"/>
                <w:szCs w:val="1"/>
                <w:color w:val="auto"/>
              </w:rPr>
            </w:pPr>
          </w:p>
        </w:tc>
      </w:tr>
      <w:tr>
        <w:trPr>
          <w:trHeight w:val="161"/>
        </w:trPr>
        <w:tc>
          <w:tcPr>
            <w:tcW w:w="2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expenses</w:t>
            </w:r>
          </w:p>
        </w:tc>
        <w:tc>
          <w:tcPr>
            <w:tcW w:w="120" w:type="dxa"/>
            <w:vAlign w:val="bottom"/>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00" w:type="dxa"/>
            <w:vAlign w:val="bottom"/>
            <w:tcBorders>
              <w:left w:val="single" w:sz="8" w:color="CFF0FC"/>
              <w:right w:val="single" w:sz="8" w:color="auto"/>
            </w:tcBorders>
            <w:shd w:val="clear" w:color="auto" w:fill="CFF0FC"/>
          </w:tcPr>
          <w:p>
            <w:pPr>
              <w:spacing w:after="0" w:line="136" w:lineRule="exact"/>
              <w:rPr>
                <w:sz w:val="20"/>
                <w:szCs w:val="20"/>
                <w:color w:val="auto"/>
              </w:rPr>
            </w:pPr>
            <w:r>
              <w:rPr>
                <w:rFonts w:ascii="Arial" w:cs="Arial" w:eastAsia="Arial" w:hAnsi="Arial"/>
                <w:sz w:val="13"/>
                <w:szCs w:val="13"/>
                <w:color w:val="auto"/>
              </w:rPr>
              <w:t>Adjustment of redeemable noncontrolling</w:t>
            </w:r>
          </w:p>
        </w:tc>
        <w:tc>
          <w:tcPr>
            <w:tcW w:w="120" w:type="dxa"/>
            <w:vAlign w:val="bottom"/>
            <w:shd w:val="clear" w:color="auto" w:fill="CFF0FC"/>
          </w:tcPr>
          <w:p>
            <w:pPr>
              <w:spacing w:after="0"/>
              <w:rPr>
                <w:sz w:val="11"/>
                <w:szCs w:val="11"/>
                <w:color w:val="auto"/>
              </w:rPr>
            </w:pPr>
          </w:p>
        </w:tc>
        <w:tc>
          <w:tcPr>
            <w:tcW w:w="1320" w:type="dxa"/>
            <w:vAlign w:val="bottom"/>
            <w:tcBorders>
              <w:right w:val="single" w:sz="8" w:color="auto"/>
            </w:tcBorders>
            <w:shd w:val="clear" w:color="auto" w:fill="CFF0FC"/>
          </w:tcPr>
          <w:p>
            <w:pPr>
              <w:jc w:val="right"/>
              <w:ind w:right="53"/>
              <w:spacing w:after="0" w:line="136" w:lineRule="exact"/>
              <w:rPr>
                <w:sz w:val="20"/>
                <w:szCs w:val="20"/>
                <w:color w:val="auto"/>
              </w:rPr>
            </w:pPr>
            <w:r>
              <w:rPr>
                <w:rFonts w:ascii="Arial" w:cs="Arial" w:eastAsia="Arial" w:hAnsi="Arial"/>
                <w:sz w:val="13"/>
                <w:szCs w:val="13"/>
                <w:color w:val="auto"/>
              </w:rPr>
              <w:t>912</w:t>
            </w: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13"/>
              <w:spacing w:after="0" w:line="136"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(912)</w:t>
            </w:r>
          </w:p>
        </w:tc>
        <w:tc>
          <w:tcPr>
            <w:tcW w:w="12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73"/>
              <w:spacing w:after="0" w:line="136"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1"/>
                <w:szCs w:val="11"/>
                <w:color w:val="auto"/>
              </w:rPr>
            </w:pPr>
          </w:p>
        </w:tc>
        <w:tc>
          <w:tcPr>
            <w:tcW w:w="1040" w:type="dxa"/>
            <w:vAlign w:val="bottom"/>
            <w:tcBorders>
              <w:right w:val="single" w:sz="8" w:color="auto"/>
            </w:tcBorders>
            <w:shd w:val="clear" w:color="auto" w:fill="CFF0FC"/>
          </w:tcPr>
          <w:p>
            <w:pPr>
              <w:jc w:val="right"/>
              <w:ind w:right="193"/>
              <w:spacing w:after="0" w:line="136"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1"/>
                <w:szCs w:val="11"/>
                <w:color w:val="auto"/>
              </w:rPr>
            </w:pPr>
          </w:p>
        </w:tc>
        <w:tc>
          <w:tcPr>
            <w:tcW w:w="820" w:type="dxa"/>
            <w:vAlign w:val="bottom"/>
            <w:tcBorders>
              <w:right w:val="single" w:sz="8" w:color="auto"/>
            </w:tcBorders>
            <w:shd w:val="clear" w:color="auto" w:fill="CFF0FC"/>
          </w:tcPr>
          <w:p>
            <w:pPr>
              <w:jc w:val="right"/>
              <w:spacing w:after="0" w:line="136" w:lineRule="exact"/>
              <w:rPr>
                <w:sz w:val="20"/>
                <w:szCs w:val="20"/>
                <w:color w:val="auto"/>
              </w:rPr>
            </w:pPr>
            <w:r>
              <w:rPr>
                <w:rFonts w:ascii="Arial" w:cs="Arial" w:eastAsia="Arial" w:hAnsi="Arial"/>
                <w:sz w:val="13"/>
                <w:szCs w:val="13"/>
                <w:color w:val="auto"/>
              </w:rPr>
              <w:t>(912)</w:t>
            </w:r>
          </w:p>
        </w:tc>
        <w:tc>
          <w:tcPr>
            <w:tcW w:w="0" w:type="dxa"/>
            <w:vAlign w:val="bottom"/>
          </w:tcPr>
          <w:p>
            <w:pPr>
              <w:spacing w:after="0"/>
              <w:rPr>
                <w:sz w:val="1"/>
                <w:szCs w:val="1"/>
                <w:color w:val="auto"/>
              </w:rPr>
            </w:pPr>
          </w:p>
        </w:tc>
      </w:tr>
      <w:tr>
        <w:trPr>
          <w:trHeight w:val="161"/>
        </w:trPr>
        <w:tc>
          <w:tcPr>
            <w:tcW w:w="2800" w:type="dxa"/>
            <w:vAlign w:val="bottom"/>
            <w:tcBorders>
              <w:left w:val="single" w:sz="8" w:color="CFF0FC"/>
              <w:right w:val="single" w:sz="8" w:color="auto"/>
            </w:tcBorders>
            <w:shd w:val="clear" w:color="auto" w:fill="CFF0FC"/>
          </w:tcPr>
          <w:p>
            <w:pPr>
              <w:spacing w:after="0"/>
              <w:rPr>
                <w:sz w:val="20"/>
                <w:szCs w:val="20"/>
                <w:color w:val="auto"/>
              </w:rPr>
            </w:pPr>
            <w:r>
              <w:rPr>
                <w:rFonts w:ascii="Arial" w:cs="Arial" w:eastAsia="Arial" w:hAnsi="Arial"/>
                <w:sz w:val="13"/>
                <w:szCs w:val="13"/>
                <w:color w:val="auto"/>
              </w:rPr>
              <w:t>interest to redemption value</w:t>
            </w:r>
          </w:p>
        </w:tc>
        <w:tc>
          <w:tcPr>
            <w:tcW w:w="120" w:type="dxa"/>
            <w:vAlign w:val="bottom"/>
            <w:shd w:val="clear" w:color="auto" w:fill="CFF0FC"/>
          </w:tcPr>
          <w:p>
            <w:pPr>
              <w:spacing w:after="0"/>
              <w:rPr>
                <w:sz w:val="14"/>
                <w:szCs w:val="14"/>
                <w:color w:val="auto"/>
              </w:rPr>
            </w:pPr>
          </w:p>
        </w:tc>
        <w:tc>
          <w:tcPr>
            <w:tcW w:w="1320" w:type="dxa"/>
            <w:vAlign w:val="bottom"/>
            <w:tcBorders>
              <w:right w:val="single" w:sz="8" w:color="auto"/>
            </w:tcBorders>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tcBorders>
              <w:right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tcBorders>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00" w:type="dxa"/>
            <w:vAlign w:val="bottom"/>
            <w:tcBorders>
              <w:right w:val="single" w:sz="8" w:color="auto"/>
            </w:tcBorders>
          </w:tcPr>
          <w:p>
            <w:pPr>
              <w:spacing w:after="0" w:line="136" w:lineRule="exact"/>
              <w:rPr>
                <w:sz w:val="20"/>
                <w:szCs w:val="20"/>
                <w:color w:val="auto"/>
              </w:rPr>
            </w:pPr>
            <w:r>
              <w:rPr>
                <w:rFonts w:ascii="Arial" w:cs="Arial" w:eastAsia="Arial" w:hAnsi="Arial"/>
                <w:sz w:val="13"/>
                <w:szCs w:val="13"/>
                <w:color w:val="auto"/>
              </w:rPr>
              <w:t>Repurchase of noncontrolling interest in</w:t>
            </w:r>
          </w:p>
        </w:tc>
        <w:tc>
          <w:tcPr>
            <w:tcW w:w="120" w:type="dxa"/>
            <w:vAlign w:val="bottom"/>
          </w:tcPr>
          <w:p>
            <w:pPr>
              <w:spacing w:after="0"/>
              <w:rPr>
                <w:sz w:val="11"/>
                <w:szCs w:val="11"/>
                <w:color w:val="auto"/>
              </w:rPr>
            </w:pPr>
          </w:p>
        </w:tc>
        <w:tc>
          <w:tcPr>
            <w:tcW w:w="132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3"/>
                <w:szCs w:val="13"/>
                <w:color w:val="auto"/>
              </w:rPr>
              <w:t>(20,845)</w:t>
            </w:r>
          </w:p>
        </w:tc>
        <w:tc>
          <w:tcPr>
            <w:tcW w:w="14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960" w:type="dxa"/>
            <w:vAlign w:val="bottom"/>
          </w:tcPr>
          <w:p>
            <w:pPr>
              <w:jc w:val="right"/>
              <w:ind w:right="13"/>
              <w:spacing w:after="0" w:line="13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20" w:type="dxa"/>
            <w:vAlign w:val="bottom"/>
          </w:tcPr>
          <w:p>
            <w:pPr>
              <w:jc w:val="right"/>
              <w:ind w:right="33"/>
              <w:spacing w:after="0" w:line="13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300" w:type="dxa"/>
            <w:vAlign w:val="bottom"/>
          </w:tcPr>
          <w:p>
            <w:pPr>
              <w:jc w:val="right"/>
              <w:ind w:right="73"/>
              <w:spacing w:after="0" w:line="13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040" w:type="dxa"/>
            <w:vAlign w:val="bottom"/>
            <w:tcBorders>
              <w:right w:val="single" w:sz="8" w:color="auto"/>
            </w:tcBorders>
          </w:tcPr>
          <w:p>
            <w:pPr>
              <w:jc w:val="right"/>
              <w:ind w:right="193"/>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20" w:type="dxa"/>
            <w:vAlign w:val="bottom"/>
            <w:tcBorders>
              <w:right w:val="single" w:sz="8" w:color="auto"/>
            </w:tcBorders>
          </w:tcPr>
          <w:p>
            <w:pPr>
              <w:jc w:val="right"/>
              <w:ind w:right="53"/>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Premion</w:t>
            </w:r>
          </w:p>
        </w:tc>
        <w:tc>
          <w:tcPr>
            <w:tcW w:w="120" w:type="dxa"/>
            <w:vAlign w:val="bottom"/>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0" w:type="dxa"/>
            <w:vAlign w:val="bottom"/>
            <w:tcBorders>
              <w:left w:val="single" w:sz="8" w:color="CFF0FC"/>
              <w:bottom w:val="single" w:sz="8" w:color="auto"/>
              <w:right w:val="single" w:sz="8" w:color="auto"/>
            </w:tcBorders>
            <w:shd w:val="clear" w:color="auto" w:fill="CFF0FC"/>
          </w:tcPr>
          <w:p>
            <w:pPr>
              <w:spacing w:after="0"/>
              <w:rPr>
                <w:sz w:val="20"/>
                <w:szCs w:val="20"/>
                <w:color w:val="auto"/>
              </w:rPr>
            </w:pPr>
            <w:r>
              <w:rPr>
                <w:rFonts w:ascii="Arial" w:cs="Arial" w:eastAsia="Arial" w:hAnsi="Arial"/>
                <w:sz w:val="13"/>
                <w:szCs w:val="13"/>
                <w:color w:val="auto"/>
              </w:rPr>
              <w:t>Other activity</w:t>
            </w:r>
          </w:p>
        </w:tc>
        <w:tc>
          <w:tcPr>
            <w:tcW w:w="12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right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FF0FC"/>
              <w:right w:val="single" w:sz="8" w:color="CFF0FC"/>
            </w:tcBorders>
            <w:shd w:val="clear" w:color="auto" w:fill="CFF0FC"/>
          </w:tcPr>
          <w:p>
            <w:pPr>
              <w:spacing w:after="0"/>
              <w:rPr>
                <w:sz w:val="12"/>
                <w:szCs w:val="12"/>
                <w:color w:val="auto"/>
              </w:rPr>
            </w:pPr>
          </w:p>
        </w:tc>
        <w:tc>
          <w:tcPr>
            <w:tcW w:w="120" w:type="dxa"/>
            <w:vAlign w:val="bottom"/>
            <w:tcBorders>
              <w:bottom w:val="single" w:sz="8" w:color="CFF0FC"/>
              <w:right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3"/>
                <w:szCs w:val="13"/>
                <w:color w:val="auto"/>
              </w:rPr>
              <w:t>1,062</w:t>
            </w:r>
          </w:p>
        </w:tc>
        <w:tc>
          <w:tcPr>
            <w:tcW w:w="12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right w:val="single" w:sz="8" w:color="auto"/>
            </w:tcBorders>
            <w:shd w:val="clear" w:color="auto" w:fill="CFF0FC"/>
          </w:tcPr>
          <w:p>
            <w:pPr>
              <w:jc w:val="right"/>
              <w:ind w:right="133"/>
              <w:spacing w:after="0"/>
              <w:rPr>
                <w:sz w:val="20"/>
                <w:szCs w:val="20"/>
                <w:color w:val="auto"/>
              </w:rPr>
            </w:pPr>
            <w:r>
              <w:rPr>
                <w:rFonts w:ascii="Arial" w:cs="Arial" w:eastAsia="Arial" w:hAnsi="Arial"/>
                <w:sz w:val="13"/>
                <w:szCs w:val="13"/>
                <w:color w:val="auto"/>
              </w:rPr>
              <w:t>(2,426)</w:t>
            </w:r>
          </w:p>
        </w:tc>
        <w:tc>
          <w:tcPr>
            <w:tcW w:w="18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(1,364)</w:t>
            </w:r>
          </w:p>
        </w:tc>
        <w:tc>
          <w:tcPr>
            <w:tcW w:w="0" w:type="dxa"/>
            <w:vAlign w:val="bottom"/>
          </w:tcPr>
          <w:p>
            <w:pPr>
              <w:spacing w:after="0"/>
              <w:rPr>
                <w:sz w:val="1"/>
                <w:szCs w:val="1"/>
                <w:color w:val="auto"/>
              </w:rPr>
            </w:pPr>
          </w:p>
        </w:tc>
      </w:tr>
      <w:tr>
        <w:trPr>
          <w:trHeight w:val="142"/>
        </w:trPr>
        <w:tc>
          <w:tcPr>
            <w:tcW w:w="2800" w:type="dxa"/>
            <w:vAlign w:val="bottom"/>
            <w:tcBorders>
              <w:left w:val="single" w:sz="8" w:color="auto"/>
              <w:bottom w:val="single" w:sz="8" w:color="auto"/>
              <w:right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Balance as of Sept. 30, 2025</w:t>
            </w: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32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Arial" w:cs="Arial" w:eastAsia="Arial" w:hAnsi="Arial"/>
                <w:sz w:val="13"/>
                <w:szCs w:val="13"/>
                <w:b w:val="1"/>
                <w:bCs w:val="1"/>
                <w:color w:val="auto"/>
              </w:rPr>
              <w:t>—</w:t>
            </w:r>
          </w:p>
        </w:tc>
        <w:tc>
          <w:tcPr>
            <w:tcW w:w="260" w:type="dxa"/>
            <w:vAlign w:val="bottom"/>
            <w:tcBorders>
              <w:right w:val="single" w:sz="8" w:color="auto"/>
            </w:tcBorders>
            <w:gridSpan w:val="2"/>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324,419</w:t>
            </w:r>
          </w:p>
        </w:tc>
        <w:tc>
          <w:tcPr>
            <w:tcW w:w="22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3"/>
                <w:szCs w:val="13"/>
                <w:b w:val="1"/>
                <w:bCs w:val="1"/>
                <w:color w:val="auto"/>
              </w:rPr>
              <w:t>27,941</w:t>
            </w: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b w:val="1"/>
                <w:bCs w:val="1"/>
                <w:color w:val="auto"/>
              </w:rPr>
              <w:t>8,585,313</w:t>
            </w:r>
          </w:p>
        </w:tc>
        <w:tc>
          <w:tcPr>
            <w:tcW w:w="1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13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b w:val="1"/>
                <w:bCs w:val="1"/>
                <w:color w:val="auto"/>
              </w:rPr>
              <w:t>(104,036)</w:t>
            </w: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1040" w:type="dxa"/>
            <w:vAlign w:val="bottom"/>
            <w:tcBorders>
              <w:bottom w:val="single" w:sz="8" w:color="auto"/>
              <w:right w:val="single" w:sz="8" w:color="auto"/>
            </w:tcBorders>
          </w:tcPr>
          <w:p>
            <w:pPr>
              <w:jc w:val="right"/>
              <w:ind w:right="133"/>
              <w:spacing w:after="0" w:line="142" w:lineRule="exact"/>
              <w:rPr>
                <w:sz w:val="20"/>
                <w:szCs w:val="20"/>
                <w:color w:val="auto"/>
              </w:rPr>
            </w:pPr>
            <w:r>
              <w:rPr>
                <w:rFonts w:ascii="Arial" w:cs="Arial" w:eastAsia="Arial" w:hAnsi="Arial"/>
                <w:sz w:val="13"/>
                <w:szCs w:val="13"/>
                <w:b w:val="1"/>
                <w:bCs w:val="1"/>
                <w:color w:val="auto"/>
              </w:rPr>
              <w:t>(5,717,373)</w:t>
            </w:r>
          </w:p>
        </w:tc>
        <w:tc>
          <w:tcPr>
            <w:tcW w:w="180" w:type="dxa"/>
            <w:vAlign w:val="bottom"/>
            <w:tcBorders>
              <w:bottom w:val="single" w:sz="8" w:color="auto"/>
            </w:tcBorders>
          </w:tcPr>
          <w:p>
            <w:pPr>
              <w:jc w:val="right"/>
              <w:ind w:right="64"/>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Arial" w:cs="Arial" w:eastAsia="Arial" w:hAnsi="Arial"/>
                <w:sz w:val="13"/>
                <w:szCs w:val="13"/>
                <w:b w:val="1"/>
                <w:bCs w:val="1"/>
                <w:color w:val="auto"/>
              </w:rPr>
              <w:t>3,116,264</w:t>
            </w:r>
          </w:p>
        </w:tc>
        <w:tc>
          <w:tcPr>
            <w:tcW w:w="0" w:type="dxa"/>
            <w:vAlign w:val="bottom"/>
          </w:tcPr>
          <w:p>
            <w:pPr>
              <w:spacing w:after="0"/>
              <w:rPr>
                <w:sz w:val="1"/>
                <w:szCs w:val="1"/>
                <w:color w:val="auto"/>
              </w:rPr>
            </w:pPr>
          </w:p>
        </w:tc>
      </w:tr>
      <w:tr>
        <w:trPr>
          <w:trHeight w:val="492"/>
        </w:trPr>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center"/>
              <w:ind w:right="233"/>
              <w:spacing w:after="0"/>
              <w:rPr>
                <w:sz w:val="20"/>
                <w:szCs w:val="20"/>
                <w:color w:val="auto"/>
              </w:rPr>
            </w:pPr>
            <w:r>
              <w:rPr>
                <w:rFonts w:ascii="Arial" w:cs="Arial" w:eastAsia="Arial" w:hAnsi="Arial"/>
                <w:sz w:val="13"/>
                <w:szCs w:val="13"/>
                <w:b w:val="1"/>
                <w:bCs w:val="1"/>
                <w:color w:val="auto"/>
              </w:rPr>
              <w:t>Redeemable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vMerge w:val="restart"/>
          </w:tcPr>
          <w:p>
            <w:pPr>
              <w:jc w:val="center"/>
              <w:ind w:right="133"/>
              <w:spacing w:after="0"/>
              <w:rPr>
                <w:sz w:val="20"/>
                <w:szCs w:val="20"/>
                <w:color w:val="auto"/>
              </w:rPr>
            </w:pPr>
            <w:r>
              <w:rPr>
                <w:rFonts w:ascii="Arial" w:cs="Arial" w:eastAsia="Arial" w:hAnsi="Arial"/>
                <w:sz w:val="13"/>
                <w:szCs w:val="13"/>
                <w:b w:val="1"/>
                <w:bCs w:val="1"/>
                <w:color w:val="auto"/>
              </w:rPr>
              <w:t>Common</w:t>
            </w:r>
          </w:p>
        </w:tc>
        <w:tc>
          <w:tcPr>
            <w:tcW w:w="11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Additional paid-</w:t>
            </w:r>
          </w:p>
        </w:tc>
        <w:tc>
          <w:tcPr>
            <w:tcW w:w="120" w:type="dxa"/>
            <w:vAlign w:val="bottom"/>
          </w:tcPr>
          <w:p>
            <w:pPr>
              <w:spacing w:after="0"/>
              <w:rPr>
                <w:sz w:val="24"/>
                <w:szCs w:val="24"/>
                <w:color w:val="auto"/>
              </w:rPr>
            </w:pPr>
          </w:p>
        </w:tc>
        <w:tc>
          <w:tcPr>
            <w:tcW w:w="820" w:type="dxa"/>
            <w:vAlign w:val="bottom"/>
            <w:vMerge w:val="restart"/>
          </w:tcPr>
          <w:p>
            <w:pPr>
              <w:jc w:val="center"/>
              <w:ind w:right="153"/>
              <w:spacing w:after="0"/>
              <w:rPr>
                <w:sz w:val="20"/>
                <w:szCs w:val="20"/>
                <w:color w:val="auto"/>
              </w:rPr>
            </w:pPr>
            <w:r>
              <w:rPr>
                <w:rFonts w:ascii="Arial" w:cs="Arial" w:eastAsia="Arial" w:hAnsi="Arial"/>
                <w:sz w:val="13"/>
                <w:szCs w:val="13"/>
                <w:b w:val="1"/>
                <w:bCs w:val="1"/>
                <w:color w:val="auto"/>
              </w:rPr>
              <w:t>Retained</w:t>
            </w:r>
          </w:p>
        </w:tc>
        <w:tc>
          <w:tcPr>
            <w:tcW w:w="1420" w:type="dxa"/>
            <w:vAlign w:val="bottom"/>
            <w:gridSpan w:val="2"/>
          </w:tcPr>
          <w:p>
            <w:pPr>
              <w:ind w:left="20"/>
              <w:spacing w:after="0"/>
              <w:rPr>
                <w:sz w:val="20"/>
                <w:szCs w:val="20"/>
                <w:color w:val="auto"/>
              </w:rPr>
            </w:pPr>
            <w:r>
              <w:rPr>
                <w:rFonts w:ascii="Arial" w:cs="Arial" w:eastAsia="Arial" w:hAnsi="Arial"/>
                <w:sz w:val="13"/>
                <w:szCs w:val="13"/>
                <w:b w:val="1"/>
                <w:bCs w:val="1"/>
                <w:color w:val="auto"/>
              </w:rPr>
              <w:t>Accumulated other</w:t>
            </w:r>
          </w:p>
        </w:tc>
        <w:tc>
          <w:tcPr>
            <w:tcW w:w="200" w:type="dxa"/>
            <w:vAlign w:val="bottom"/>
          </w:tcPr>
          <w:p>
            <w:pPr>
              <w:spacing w:after="0"/>
              <w:rPr>
                <w:sz w:val="24"/>
                <w:szCs w:val="24"/>
                <w:color w:val="auto"/>
              </w:rPr>
            </w:pPr>
          </w:p>
        </w:tc>
        <w:tc>
          <w:tcPr>
            <w:tcW w:w="1040" w:type="dxa"/>
            <w:vAlign w:val="bottom"/>
            <w:vMerge w:val="restart"/>
          </w:tcPr>
          <w:p>
            <w:pPr>
              <w:jc w:val="center"/>
              <w:ind w:right="333"/>
              <w:spacing w:after="0"/>
              <w:rPr>
                <w:sz w:val="20"/>
                <w:szCs w:val="20"/>
                <w:color w:val="auto"/>
              </w:rPr>
            </w:pPr>
            <w:r>
              <w:rPr>
                <w:rFonts w:ascii="Arial" w:cs="Arial" w:eastAsia="Arial" w:hAnsi="Arial"/>
                <w:sz w:val="13"/>
                <w:szCs w:val="13"/>
                <w:b w:val="1"/>
                <w:bCs w:val="1"/>
                <w:color w:val="auto"/>
              </w:rPr>
              <w:t>Treasury</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233"/>
              <w:spacing w:after="0"/>
              <w:rPr>
                <w:sz w:val="20"/>
                <w:szCs w:val="20"/>
                <w:color w:val="auto"/>
              </w:rPr>
            </w:pPr>
            <w:r>
              <w:rPr>
                <w:rFonts w:ascii="Arial" w:cs="Arial" w:eastAsia="Arial" w:hAnsi="Arial"/>
                <w:sz w:val="13"/>
                <w:szCs w:val="13"/>
                <w:b w:val="1"/>
                <w:bCs w:val="1"/>
                <w:color w:val="auto"/>
              </w:rPr>
              <w:t>noncontrolling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213"/>
              <w:spacing w:after="0"/>
              <w:rPr>
                <w:sz w:val="20"/>
                <w:szCs w:val="20"/>
                <w:color w:val="auto"/>
              </w:rPr>
            </w:pPr>
            <w:r>
              <w:rPr>
                <w:rFonts w:ascii="Arial" w:cs="Arial" w:eastAsia="Arial" w:hAnsi="Arial"/>
                <w:sz w:val="13"/>
                <w:szCs w:val="13"/>
                <w:b w:val="1"/>
                <w:bCs w:val="1"/>
                <w:color w:val="auto"/>
              </w:rPr>
              <w:t>comprehensive</w:t>
            </w: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0" w:type="dxa"/>
            <w:vAlign w:val="bottom"/>
            <w:gridSpan w:val="2"/>
            <w:vMerge w:val="restart"/>
          </w:tcPr>
          <w:p>
            <w:pPr>
              <w:jc w:val="right"/>
              <w:ind w:right="113"/>
              <w:spacing w:after="0"/>
              <w:rPr>
                <w:sz w:val="20"/>
                <w:szCs w:val="20"/>
                <w:color w:val="auto"/>
              </w:rPr>
            </w:pPr>
            <w:r>
              <w:rPr>
                <w:rFonts w:ascii="Arial" w:cs="Arial" w:eastAsia="Arial" w:hAnsi="Arial"/>
                <w:sz w:val="13"/>
                <w:szCs w:val="13"/>
                <w:b w:val="1"/>
                <w:bCs w:val="1"/>
                <w:color w:val="auto"/>
              </w:rPr>
              <w:t>Total Equity</w:t>
            </w:r>
          </w:p>
        </w:tc>
        <w:tc>
          <w:tcPr>
            <w:tcW w:w="0" w:type="dxa"/>
            <w:vAlign w:val="bottom"/>
          </w:tcPr>
          <w:p>
            <w:pPr>
              <w:spacing w:after="0"/>
              <w:rPr>
                <w:sz w:val="1"/>
                <w:szCs w:val="1"/>
                <w:color w:val="auto"/>
              </w:rPr>
            </w:pPr>
          </w:p>
        </w:tc>
      </w:tr>
      <w:tr>
        <w:trPr>
          <w:trHeight w:val="163"/>
        </w:trPr>
        <w:tc>
          <w:tcPr>
            <w:tcW w:w="2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93"/>
              <w:spacing w:after="0"/>
              <w:rPr>
                <w:sz w:val="20"/>
                <w:szCs w:val="20"/>
                <w:color w:val="auto"/>
              </w:rPr>
            </w:pPr>
            <w:r>
              <w:rPr>
                <w:rFonts w:ascii="Arial" w:cs="Arial" w:eastAsia="Arial" w:hAnsi="Arial"/>
                <w:sz w:val="13"/>
                <w:szCs w:val="13"/>
                <w:b w:val="1"/>
                <w:bCs w:val="1"/>
                <w:color w:val="auto"/>
              </w:rPr>
              <w:t>interest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w w:val="99"/>
              </w:rPr>
              <w:t>stock</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in capital</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13"/>
              <w:spacing w:after="0"/>
              <w:rPr>
                <w:sz w:val="20"/>
                <w:szCs w:val="20"/>
                <w:color w:val="auto"/>
              </w:rPr>
            </w:pPr>
            <w:r>
              <w:rPr>
                <w:rFonts w:ascii="Arial" w:cs="Arial" w:eastAsia="Arial" w:hAnsi="Arial"/>
                <w:sz w:val="13"/>
                <w:szCs w:val="13"/>
                <w:b w:val="1"/>
                <w:bCs w:val="1"/>
                <w:color w:val="auto"/>
              </w:rPr>
              <w:t>earnings</w:t>
            </w: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73"/>
              <w:spacing w:after="0"/>
              <w:rPr>
                <w:sz w:val="20"/>
                <w:szCs w:val="20"/>
                <w:color w:val="auto"/>
              </w:rPr>
            </w:pPr>
            <w:r>
              <w:rPr>
                <w:rFonts w:ascii="Arial" w:cs="Arial" w:eastAsia="Arial" w:hAnsi="Arial"/>
                <w:sz w:val="13"/>
                <w:szCs w:val="13"/>
                <w:b w:val="1"/>
                <w:bCs w:val="1"/>
                <w:color w:val="auto"/>
                <w:w w:val="99"/>
              </w:rPr>
              <w:t>loss</w:t>
            </w: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93"/>
              <w:spacing w:after="0"/>
              <w:rPr>
                <w:sz w:val="20"/>
                <w:szCs w:val="20"/>
                <w:color w:val="auto"/>
              </w:rPr>
            </w:pPr>
            <w:r>
              <w:rPr>
                <w:rFonts w:ascii="Arial" w:cs="Arial" w:eastAsia="Arial" w:hAnsi="Arial"/>
                <w:sz w:val="13"/>
                <w:szCs w:val="13"/>
                <w:b w:val="1"/>
                <w:bCs w:val="1"/>
                <w:color w:val="auto"/>
              </w:rPr>
              <w:t>stock</w:t>
            </w:r>
          </w:p>
        </w:tc>
        <w:tc>
          <w:tcPr>
            <w:tcW w:w="100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tcBorders>
              <w:left w:val="single" w:sz="8" w:color="auto"/>
              <w:bottom w:val="single" w:sz="8" w:color="auto"/>
              <w:right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Balance as of Dec. 31, 2023</w:t>
            </w: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32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Arial" w:cs="Arial" w:eastAsia="Arial" w:hAnsi="Arial"/>
                <w:sz w:val="13"/>
                <w:szCs w:val="13"/>
                <w:b w:val="1"/>
                <w:bCs w:val="1"/>
                <w:color w:val="auto"/>
              </w:rPr>
              <w:t>18,812</w:t>
            </w:r>
          </w:p>
        </w:tc>
        <w:tc>
          <w:tcPr>
            <w:tcW w:w="260" w:type="dxa"/>
            <w:vAlign w:val="bottom"/>
            <w:tcBorders>
              <w:right w:val="single" w:sz="8" w:color="auto"/>
            </w:tcBorders>
            <w:gridSpan w:val="2"/>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324,419</w:t>
            </w:r>
          </w:p>
        </w:tc>
        <w:tc>
          <w:tcPr>
            <w:tcW w:w="22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3"/>
                <w:szCs w:val="13"/>
                <w:b w:val="1"/>
                <w:bCs w:val="1"/>
                <w:color w:val="auto"/>
              </w:rPr>
              <w:t>27,941</w:t>
            </w: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b w:val="1"/>
                <w:bCs w:val="1"/>
                <w:color w:val="auto"/>
              </w:rPr>
              <w:t>8,091,245</w:t>
            </w:r>
          </w:p>
        </w:tc>
        <w:tc>
          <w:tcPr>
            <w:tcW w:w="1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13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b w:val="1"/>
                <w:bCs w:val="1"/>
                <w:color w:val="auto"/>
              </w:rPr>
              <w:t>(119,610)</w:t>
            </w: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1040" w:type="dxa"/>
            <w:vAlign w:val="bottom"/>
            <w:tcBorders>
              <w:bottom w:val="single" w:sz="8" w:color="auto"/>
              <w:right w:val="single" w:sz="8" w:color="auto"/>
            </w:tcBorders>
          </w:tcPr>
          <w:p>
            <w:pPr>
              <w:jc w:val="right"/>
              <w:ind w:right="133"/>
              <w:spacing w:after="0" w:line="142" w:lineRule="exact"/>
              <w:rPr>
                <w:sz w:val="20"/>
                <w:szCs w:val="20"/>
                <w:color w:val="auto"/>
              </w:rPr>
            </w:pPr>
            <w:r>
              <w:rPr>
                <w:rFonts w:ascii="Arial" w:cs="Arial" w:eastAsia="Arial" w:hAnsi="Arial"/>
                <w:sz w:val="13"/>
                <w:szCs w:val="13"/>
                <w:b w:val="1"/>
                <w:bCs w:val="1"/>
                <w:color w:val="auto"/>
              </w:rPr>
              <w:t>(5,619,123)</w:t>
            </w:r>
          </w:p>
        </w:tc>
        <w:tc>
          <w:tcPr>
            <w:tcW w:w="180" w:type="dxa"/>
            <w:vAlign w:val="bottom"/>
            <w:tcBorders>
              <w:bottom w:val="single" w:sz="8" w:color="auto"/>
            </w:tcBorders>
          </w:tcPr>
          <w:p>
            <w:pPr>
              <w:jc w:val="right"/>
              <w:ind w:right="64"/>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Arial" w:cs="Arial" w:eastAsia="Arial" w:hAnsi="Arial"/>
                <w:sz w:val="13"/>
                <w:szCs w:val="13"/>
                <w:b w:val="1"/>
                <w:bCs w:val="1"/>
                <w:color w:val="auto"/>
              </w:rPr>
              <w:t>2,704,872</w:t>
            </w:r>
          </w:p>
        </w:tc>
        <w:tc>
          <w:tcPr>
            <w:tcW w:w="0" w:type="dxa"/>
            <w:vAlign w:val="bottom"/>
          </w:tcPr>
          <w:p>
            <w:pPr>
              <w:spacing w:after="0"/>
              <w:rPr>
                <w:sz w:val="1"/>
                <w:szCs w:val="1"/>
                <w:color w:val="auto"/>
              </w:rPr>
            </w:pPr>
          </w:p>
        </w:tc>
      </w:tr>
      <w:tr>
        <w:trPr>
          <w:trHeight w:val="142"/>
        </w:trPr>
        <w:tc>
          <w:tcPr>
            <w:tcW w:w="2800" w:type="dxa"/>
            <w:vAlign w:val="bottom"/>
            <w:tcBorders>
              <w:left w:val="single" w:sz="8" w:color="CFF0FC"/>
              <w:right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Net (loss) income</w:t>
            </w:r>
          </w:p>
        </w:tc>
        <w:tc>
          <w:tcPr>
            <w:tcW w:w="120" w:type="dxa"/>
            <w:vAlign w:val="bottom"/>
            <w:shd w:val="clear" w:color="auto" w:fill="CFF0FC"/>
          </w:tcPr>
          <w:p>
            <w:pPr>
              <w:spacing w:after="0"/>
              <w:rPr>
                <w:sz w:val="12"/>
                <w:szCs w:val="12"/>
                <w:color w:val="auto"/>
              </w:rPr>
            </w:pPr>
          </w:p>
        </w:tc>
        <w:tc>
          <w:tcPr>
            <w:tcW w:w="1320" w:type="dxa"/>
            <w:vAlign w:val="bottom"/>
            <w:tcBorders>
              <w:right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(673)</w:t>
            </w:r>
          </w:p>
        </w:tc>
        <w:tc>
          <w:tcPr>
            <w:tcW w:w="140" w:type="dxa"/>
            <w:vAlign w:val="bottom"/>
            <w:tcBorders>
              <w:right w:val="single" w:sz="8" w:color="auto"/>
            </w:tcBorders>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13"/>
              <w:spacing w:after="0" w:line="142"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33"/>
              <w:spacing w:after="0" w:line="142" w:lineRule="exact"/>
              <w:rPr>
                <w:sz w:val="20"/>
                <w:szCs w:val="20"/>
                <w:color w:val="auto"/>
              </w:rPr>
            </w:pPr>
            <w:r>
              <w:rPr>
                <w:rFonts w:ascii="Arial" w:cs="Arial" w:eastAsia="Arial" w:hAnsi="Arial"/>
                <w:sz w:val="13"/>
                <w:szCs w:val="13"/>
                <w:color w:val="auto"/>
              </w:rPr>
              <w:t>419,152</w:t>
            </w:r>
          </w:p>
        </w:tc>
        <w:tc>
          <w:tcPr>
            <w:tcW w:w="120" w:type="dxa"/>
            <w:vAlign w:val="bottom"/>
            <w:shd w:val="clear" w:color="auto" w:fill="CFF0FC"/>
          </w:tcPr>
          <w:p>
            <w:pPr>
              <w:spacing w:after="0"/>
              <w:rPr>
                <w:sz w:val="12"/>
                <w:szCs w:val="12"/>
                <w:color w:val="auto"/>
              </w:rPr>
            </w:pPr>
          </w:p>
        </w:tc>
        <w:tc>
          <w:tcPr>
            <w:tcW w:w="1300" w:type="dxa"/>
            <w:vAlign w:val="bottom"/>
            <w:shd w:val="clear" w:color="auto" w:fill="CFF0FC"/>
          </w:tcPr>
          <w:p>
            <w:pPr>
              <w:jc w:val="right"/>
              <w:ind w:right="73"/>
              <w:spacing w:after="0" w:line="142"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040" w:type="dxa"/>
            <w:vAlign w:val="bottom"/>
            <w:tcBorders>
              <w:right w:val="single" w:sz="8" w:color="auto"/>
            </w:tcBorders>
            <w:shd w:val="clear" w:color="auto" w:fill="CFF0FC"/>
          </w:tcPr>
          <w:p>
            <w:pPr>
              <w:jc w:val="right"/>
              <w:ind w:right="193"/>
              <w:spacing w:after="0" w:line="142"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820" w:type="dxa"/>
            <w:vAlign w:val="bottom"/>
            <w:tcBorders>
              <w:right w:val="single" w:sz="8" w:color="auto"/>
            </w:tcBorders>
            <w:shd w:val="clear" w:color="auto" w:fill="CFF0FC"/>
          </w:tcPr>
          <w:p>
            <w:pPr>
              <w:jc w:val="right"/>
              <w:ind w:right="53"/>
              <w:spacing w:after="0" w:line="142" w:lineRule="exact"/>
              <w:rPr>
                <w:sz w:val="20"/>
                <w:szCs w:val="20"/>
                <w:color w:val="auto"/>
              </w:rPr>
            </w:pPr>
            <w:r>
              <w:rPr>
                <w:rFonts w:ascii="Arial" w:cs="Arial" w:eastAsia="Arial" w:hAnsi="Arial"/>
                <w:sz w:val="13"/>
                <w:szCs w:val="13"/>
                <w:color w:val="auto"/>
              </w:rPr>
              <w:t>419,152</w:t>
            </w:r>
          </w:p>
        </w:tc>
        <w:tc>
          <w:tcPr>
            <w:tcW w:w="0" w:type="dxa"/>
            <w:vAlign w:val="bottom"/>
          </w:tcPr>
          <w:p>
            <w:pPr>
              <w:spacing w:after="0"/>
              <w:rPr>
                <w:sz w:val="1"/>
                <w:szCs w:val="1"/>
                <w:color w:val="auto"/>
              </w:rPr>
            </w:pPr>
          </w:p>
        </w:tc>
      </w:tr>
      <w:tr>
        <w:trPr>
          <w:trHeight w:val="148"/>
        </w:trPr>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Other comprehensive income, net of tax</w:t>
            </w:r>
          </w:p>
        </w:tc>
        <w:tc>
          <w:tcPr>
            <w:tcW w:w="120" w:type="dxa"/>
            <w:vAlign w:val="bottom"/>
            <w:tcBorders>
              <w:bottom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3,333</w:t>
            </w: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right"/>
              <w:ind w:right="19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color w:val="auto"/>
              </w:rPr>
              <w:t>3,333</w:t>
            </w:r>
          </w:p>
        </w:tc>
        <w:tc>
          <w:tcPr>
            <w:tcW w:w="0" w:type="dxa"/>
            <w:vAlign w:val="bottom"/>
          </w:tcPr>
          <w:p>
            <w:pPr>
              <w:spacing w:after="0"/>
              <w:rPr>
                <w:sz w:val="1"/>
                <w:szCs w:val="1"/>
                <w:color w:val="auto"/>
              </w:rPr>
            </w:pPr>
          </w:p>
        </w:tc>
      </w:tr>
      <w:tr>
        <w:trPr>
          <w:trHeight w:val="142"/>
        </w:trPr>
        <w:tc>
          <w:tcPr>
            <w:tcW w:w="2800" w:type="dxa"/>
            <w:vAlign w:val="bottom"/>
            <w:tcBorders>
              <w:left w:val="single" w:sz="8" w:color="auto"/>
              <w:bottom w:val="single" w:sz="8" w:color="auto"/>
              <w:right w:val="single" w:sz="8" w:color="auto"/>
            </w:tcBorders>
            <w:shd w:val="clear" w:color="auto" w:fill="CFF0FC"/>
          </w:tcPr>
          <w:p>
            <w:pPr>
              <w:ind w:left="20"/>
              <w:spacing w:after="0" w:line="142" w:lineRule="exact"/>
              <w:rPr>
                <w:sz w:val="20"/>
                <w:szCs w:val="20"/>
                <w:color w:val="auto"/>
              </w:rPr>
            </w:pPr>
            <w:r>
              <w:rPr>
                <w:rFonts w:ascii="Arial" w:cs="Arial" w:eastAsia="Arial" w:hAnsi="Arial"/>
                <w:sz w:val="13"/>
                <w:szCs w:val="13"/>
                <w:i w:val="1"/>
                <w:iCs w:val="1"/>
                <w:color w:val="auto"/>
              </w:rPr>
              <w:t>Total comprehensive income</w:t>
            </w:r>
          </w:p>
        </w:tc>
        <w:tc>
          <w:tcPr>
            <w:tcW w:w="12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right w:val="single" w:sz="8" w:color="auto"/>
            </w:tcBorders>
            <w:shd w:val="clear" w:color="auto" w:fill="CFF0FC"/>
          </w:tcPr>
          <w:p>
            <w:pPr>
              <w:spacing w:after="0"/>
              <w:rPr>
                <w:sz w:val="12"/>
                <w:szCs w:val="12"/>
                <w:color w:val="auto"/>
              </w:rPr>
            </w:pPr>
          </w:p>
        </w:tc>
        <w:tc>
          <w:tcPr>
            <w:tcW w:w="140" w:type="dxa"/>
            <w:vAlign w:val="bottom"/>
            <w:tcBorders>
              <w:bottom w:val="single" w:sz="8" w:color="CFF0FC"/>
              <w:right w:val="single" w:sz="8" w:color="CFF0FC"/>
            </w:tcBorders>
            <w:shd w:val="clear" w:color="auto" w:fill="CFF0FC"/>
          </w:tcPr>
          <w:p>
            <w:pPr>
              <w:spacing w:after="0"/>
              <w:rPr>
                <w:sz w:val="12"/>
                <w:szCs w:val="12"/>
                <w:color w:val="auto"/>
              </w:rPr>
            </w:pPr>
          </w:p>
        </w:tc>
        <w:tc>
          <w:tcPr>
            <w:tcW w:w="120" w:type="dxa"/>
            <w:vAlign w:val="bottom"/>
            <w:tcBorders>
              <w:bottom w:val="single" w:sz="8" w:color="CFF0FC"/>
              <w:right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right w:val="single" w:sz="8" w:color="auto"/>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right w:val="single" w:sz="8" w:color="auto"/>
            </w:tcBorders>
            <w:shd w:val="clear" w:color="auto" w:fill="CFF0FC"/>
          </w:tcPr>
          <w:p>
            <w:pPr>
              <w:jc w:val="right"/>
              <w:ind w:right="53"/>
              <w:spacing w:after="0" w:line="142" w:lineRule="exact"/>
              <w:rPr>
                <w:sz w:val="20"/>
                <w:szCs w:val="20"/>
                <w:color w:val="auto"/>
              </w:rPr>
            </w:pPr>
            <w:r>
              <w:rPr>
                <w:rFonts w:ascii="Arial" w:cs="Arial" w:eastAsia="Arial" w:hAnsi="Arial"/>
                <w:sz w:val="13"/>
                <w:szCs w:val="13"/>
                <w:color w:val="auto"/>
              </w:rPr>
              <w:t>422,485</w:t>
            </w:r>
          </w:p>
        </w:tc>
        <w:tc>
          <w:tcPr>
            <w:tcW w:w="0" w:type="dxa"/>
            <w:vAlign w:val="bottom"/>
          </w:tcPr>
          <w:p>
            <w:pPr>
              <w:spacing w:after="0"/>
              <w:rPr>
                <w:sz w:val="1"/>
                <w:szCs w:val="1"/>
                <w:color w:val="auto"/>
              </w:rPr>
            </w:pPr>
          </w:p>
        </w:tc>
      </w:tr>
      <w:tr>
        <w:trPr>
          <w:trHeight w:val="142"/>
        </w:trPr>
        <w:tc>
          <w:tcPr>
            <w:tcW w:w="2800" w:type="dxa"/>
            <w:vAlign w:val="bottom"/>
            <w:tcBorders>
              <w:right w:val="single" w:sz="8" w:color="auto"/>
            </w:tcBorders>
          </w:tcPr>
          <w:p>
            <w:pPr>
              <w:spacing w:after="0" w:line="142" w:lineRule="exact"/>
              <w:rPr>
                <w:sz w:val="20"/>
                <w:szCs w:val="20"/>
                <w:color w:val="auto"/>
              </w:rPr>
            </w:pPr>
            <w:r>
              <w:rPr>
                <w:rFonts w:ascii="Arial" w:cs="Arial" w:eastAsia="Arial" w:hAnsi="Arial"/>
                <w:sz w:val="13"/>
                <w:szCs w:val="13"/>
                <w:color w:val="auto"/>
              </w:rPr>
              <w:t>Dividends declared: $0.36375 per share</w:t>
            </w:r>
          </w:p>
        </w:tc>
        <w:tc>
          <w:tcPr>
            <w:tcW w:w="120" w:type="dxa"/>
            <w:vAlign w:val="bottom"/>
          </w:tcPr>
          <w:p>
            <w:pPr>
              <w:spacing w:after="0"/>
              <w:rPr>
                <w:sz w:val="12"/>
                <w:szCs w:val="12"/>
                <w:color w:val="auto"/>
              </w:rPr>
            </w:pPr>
          </w:p>
        </w:tc>
        <w:tc>
          <w:tcPr>
            <w:tcW w:w="1320" w:type="dxa"/>
            <w:vAlign w:val="bottom"/>
            <w:tcBorders>
              <w:right w:val="single" w:sz="8" w:color="auto"/>
            </w:tcBorders>
          </w:tcPr>
          <w:p>
            <w:pPr>
              <w:jc w:val="right"/>
              <w:ind w:right="53"/>
              <w:spacing w:after="0" w:line="142" w:lineRule="exact"/>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960" w:type="dxa"/>
            <w:vAlign w:val="bottom"/>
          </w:tcPr>
          <w:p>
            <w:pPr>
              <w:jc w:val="right"/>
              <w:ind w:right="13"/>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3"/>
                <w:szCs w:val="13"/>
                <w:color w:val="auto"/>
              </w:rPr>
              <w:t>(61,375)</w:t>
            </w:r>
          </w:p>
        </w:tc>
        <w:tc>
          <w:tcPr>
            <w:tcW w:w="120" w:type="dxa"/>
            <w:vAlign w:val="bottom"/>
          </w:tcPr>
          <w:p>
            <w:pPr>
              <w:spacing w:after="0"/>
              <w:rPr>
                <w:sz w:val="12"/>
                <w:szCs w:val="12"/>
                <w:color w:val="auto"/>
              </w:rPr>
            </w:pPr>
          </w:p>
        </w:tc>
        <w:tc>
          <w:tcPr>
            <w:tcW w:w="1300" w:type="dxa"/>
            <w:vAlign w:val="bottom"/>
          </w:tcPr>
          <w:p>
            <w:pPr>
              <w:jc w:val="right"/>
              <w:ind w:right="73"/>
              <w:spacing w:after="0" w:line="142"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40" w:type="dxa"/>
            <w:vAlign w:val="bottom"/>
            <w:tcBorders>
              <w:right w:val="single" w:sz="8" w:color="auto"/>
            </w:tcBorders>
          </w:tcPr>
          <w:p>
            <w:pPr>
              <w:jc w:val="right"/>
              <w:ind w:right="193"/>
              <w:spacing w:after="0" w:line="142"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tcBorders>
              <w:right w:val="single" w:sz="8" w:color="auto"/>
            </w:tcBorders>
          </w:tcPr>
          <w:p>
            <w:pPr>
              <w:jc w:val="right"/>
              <w:spacing w:after="0" w:line="142" w:lineRule="exact"/>
              <w:rPr>
                <w:sz w:val="20"/>
                <w:szCs w:val="20"/>
                <w:color w:val="auto"/>
              </w:rPr>
            </w:pPr>
            <w:r>
              <w:rPr>
                <w:rFonts w:ascii="Arial" w:cs="Arial" w:eastAsia="Arial" w:hAnsi="Arial"/>
                <w:sz w:val="13"/>
                <w:szCs w:val="13"/>
                <w:color w:val="auto"/>
              </w:rPr>
              <w:t>(61,375)</w:t>
            </w:r>
          </w:p>
        </w:tc>
        <w:tc>
          <w:tcPr>
            <w:tcW w:w="0" w:type="dxa"/>
            <w:vAlign w:val="bottom"/>
          </w:tcPr>
          <w:p>
            <w:pPr>
              <w:spacing w:after="0"/>
              <w:rPr>
                <w:sz w:val="1"/>
                <w:szCs w:val="1"/>
                <w:color w:val="auto"/>
              </w:rPr>
            </w:pPr>
          </w:p>
        </w:tc>
      </w:tr>
      <w:tr>
        <w:trPr>
          <w:trHeight w:val="148"/>
        </w:trPr>
        <w:tc>
          <w:tcPr>
            <w:tcW w:w="2800" w:type="dxa"/>
            <w:vAlign w:val="bottom"/>
            <w:tcBorders>
              <w:left w:val="single" w:sz="8" w:color="CFF0FC"/>
              <w:right w:val="single" w:sz="8" w:color="auto"/>
            </w:tcBorders>
            <w:shd w:val="clear" w:color="auto" w:fill="CFF0FC"/>
          </w:tcPr>
          <w:p>
            <w:pPr>
              <w:spacing w:after="0"/>
              <w:rPr>
                <w:sz w:val="20"/>
                <w:szCs w:val="20"/>
                <w:color w:val="auto"/>
              </w:rPr>
            </w:pPr>
            <w:r>
              <w:rPr>
                <w:rFonts w:ascii="Arial" w:cs="Arial" w:eastAsia="Arial" w:hAnsi="Arial"/>
                <w:sz w:val="13"/>
                <w:szCs w:val="13"/>
                <w:color w:val="auto"/>
              </w:rPr>
              <w:t>Company stock 401(k) match contributions</w:t>
            </w:r>
          </w:p>
        </w:tc>
        <w:tc>
          <w:tcPr>
            <w:tcW w:w="120" w:type="dxa"/>
            <w:vAlign w:val="bottom"/>
            <w:shd w:val="clear" w:color="auto" w:fill="CFF0FC"/>
          </w:tcPr>
          <w:p>
            <w:pPr>
              <w:spacing w:after="0"/>
              <w:rPr>
                <w:sz w:val="12"/>
                <w:szCs w:val="12"/>
                <w:color w:val="auto"/>
              </w:rPr>
            </w:pPr>
          </w:p>
        </w:tc>
        <w:tc>
          <w:tcPr>
            <w:tcW w:w="1320" w:type="dxa"/>
            <w:vAlign w:val="bottom"/>
            <w:tcBorders>
              <w:right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(25,610)</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(22,438)</w:t>
            </w:r>
          </w:p>
        </w:tc>
        <w:tc>
          <w:tcPr>
            <w:tcW w:w="120" w:type="dxa"/>
            <w:vAlign w:val="bottom"/>
            <w:shd w:val="clear" w:color="auto" w:fill="CFF0FC"/>
          </w:tcPr>
          <w:p>
            <w:pPr>
              <w:spacing w:after="0"/>
              <w:rPr>
                <w:sz w:val="12"/>
                <w:szCs w:val="12"/>
                <w:color w:val="auto"/>
              </w:rPr>
            </w:pPr>
          </w:p>
        </w:tc>
        <w:tc>
          <w:tcPr>
            <w:tcW w:w="130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040" w:type="dxa"/>
            <w:vAlign w:val="bottom"/>
            <w:tcBorders>
              <w:right w:val="single" w:sz="8" w:color="auto"/>
            </w:tcBorders>
            <w:shd w:val="clear" w:color="auto" w:fill="CFF0FC"/>
          </w:tcPr>
          <w:p>
            <w:pPr>
              <w:jc w:val="right"/>
              <w:ind w:right="193"/>
              <w:spacing w:after="0"/>
              <w:rPr>
                <w:sz w:val="20"/>
                <w:szCs w:val="20"/>
                <w:color w:val="auto"/>
              </w:rPr>
            </w:pPr>
            <w:r>
              <w:rPr>
                <w:rFonts w:ascii="Arial" w:cs="Arial" w:eastAsia="Arial" w:hAnsi="Arial"/>
                <w:sz w:val="13"/>
                <w:szCs w:val="13"/>
                <w:color w:val="auto"/>
              </w:rPr>
              <w:t>62,299</w:t>
            </w:r>
          </w:p>
        </w:tc>
        <w:tc>
          <w:tcPr>
            <w:tcW w:w="180" w:type="dxa"/>
            <w:vAlign w:val="bottom"/>
            <w:shd w:val="clear" w:color="auto" w:fill="CFF0FC"/>
          </w:tcPr>
          <w:p>
            <w:pPr>
              <w:spacing w:after="0"/>
              <w:rPr>
                <w:sz w:val="12"/>
                <w:szCs w:val="12"/>
                <w:color w:val="auto"/>
              </w:rPr>
            </w:pPr>
          </w:p>
        </w:tc>
        <w:tc>
          <w:tcPr>
            <w:tcW w:w="820" w:type="dxa"/>
            <w:vAlign w:val="bottom"/>
            <w:tcBorders>
              <w:right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14,251</w:t>
            </w:r>
          </w:p>
        </w:tc>
        <w:tc>
          <w:tcPr>
            <w:tcW w:w="0" w:type="dxa"/>
            <w:vAlign w:val="bottom"/>
          </w:tcPr>
          <w:p>
            <w:pPr>
              <w:spacing w:after="0"/>
              <w:rPr>
                <w:sz w:val="1"/>
                <w:szCs w:val="1"/>
                <w:color w:val="auto"/>
              </w:rPr>
            </w:pPr>
          </w:p>
        </w:tc>
      </w:tr>
      <w:tr>
        <w:trPr>
          <w:trHeight w:val="149"/>
        </w:trPr>
        <w:tc>
          <w:tcPr>
            <w:tcW w:w="2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Stock-based awards activity</w:t>
            </w:r>
          </w:p>
        </w:tc>
        <w:tc>
          <w:tcPr>
            <w:tcW w:w="120" w:type="dxa"/>
            <w:vAlign w:val="bottom"/>
          </w:tcPr>
          <w:p>
            <w:pPr>
              <w:spacing w:after="0"/>
              <w:rPr>
                <w:sz w:val="12"/>
                <w:szCs w:val="12"/>
                <w:color w:val="auto"/>
              </w:rPr>
            </w:pPr>
          </w:p>
        </w:tc>
        <w:tc>
          <w:tcPr>
            <w:tcW w:w="132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(64,162)</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(30,877)</w:t>
            </w:r>
          </w:p>
        </w:tc>
        <w:tc>
          <w:tcPr>
            <w:tcW w:w="120" w:type="dxa"/>
            <w:vAlign w:val="bottom"/>
          </w:tcPr>
          <w:p>
            <w:pPr>
              <w:spacing w:after="0"/>
              <w:rPr>
                <w:sz w:val="12"/>
                <w:szCs w:val="12"/>
                <w:color w:val="auto"/>
              </w:rPr>
            </w:pPr>
          </w:p>
        </w:tc>
        <w:tc>
          <w:tcPr>
            <w:tcW w:w="13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40" w:type="dxa"/>
            <w:vAlign w:val="bottom"/>
            <w:tcBorders>
              <w:right w:val="single" w:sz="8" w:color="auto"/>
            </w:tcBorders>
          </w:tcPr>
          <w:p>
            <w:pPr>
              <w:jc w:val="right"/>
              <w:ind w:right="193"/>
              <w:spacing w:after="0"/>
              <w:rPr>
                <w:sz w:val="20"/>
                <w:szCs w:val="20"/>
                <w:color w:val="auto"/>
              </w:rPr>
            </w:pPr>
            <w:r>
              <w:rPr>
                <w:rFonts w:ascii="Arial" w:cs="Arial" w:eastAsia="Arial" w:hAnsi="Arial"/>
                <w:sz w:val="13"/>
                <w:szCs w:val="13"/>
                <w:color w:val="auto"/>
              </w:rPr>
              <w:t>83,419</w:t>
            </w:r>
          </w:p>
        </w:tc>
        <w:tc>
          <w:tcPr>
            <w:tcW w:w="180" w:type="dxa"/>
            <w:vAlign w:val="bottom"/>
          </w:tcPr>
          <w:p>
            <w:pPr>
              <w:spacing w:after="0"/>
              <w:rPr>
                <w:sz w:val="12"/>
                <w:szCs w:val="12"/>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(11,620)</w:t>
            </w:r>
          </w:p>
        </w:tc>
        <w:tc>
          <w:tcPr>
            <w:tcW w:w="0" w:type="dxa"/>
            <w:vAlign w:val="bottom"/>
          </w:tcPr>
          <w:p>
            <w:pPr>
              <w:spacing w:after="0"/>
              <w:rPr>
                <w:sz w:val="1"/>
                <w:szCs w:val="1"/>
                <w:color w:val="auto"/>
              </w:rPr>
            </w:pPr>
          </w:p>
        </w:tc>
      </w:tr>
      <w:tr>
        <w:trPr>
          <w:trHeight w:val="136"/>
        </w:trPr>
        <w:tc>
          <w:tcPr>
            <w:tcW w:w="2800" w:type="dxa"/>
            <w:vAlign w:val="bottom"/>
            <w:tcBorders>
              <w:left w:val="single" w:sz="8" w:color="CFF0FC"/>
              <w:right w:val="single" w:sz="8" w:color="auto"/>
            </w:tcBorders>
            <w:shd w:val="clear" w:color="auto" w:fill="CFF0FC"/>
          </w:tcPr>
          <w:p>
            <w:pPr>
              <w:spacing w:after="0" w:line="136" w:lineRule="exact"/>
              <w:rPr>
                <w:sz w:val="20"/>
                <w:szCs w:val="20"/>
                <w:color w:val="auto"/>
              </w:rPr>
            </w:pPr>
            <w:r>
              <w:rPr>
                <w:rFonts w:ascii="Arial" w:cs="Arial" w:eastAsia="Arial" w:hAnsi="Arial"/>
                <w:sz w:val="13"/>
                <w:szCs w:val="13"/>
                <w:color w:val="auto"/>
              </w:rPr>
              <w:t>Employee stock-based compensation</w:t>
            </w:r>
          </w:p>
        </w:tc>
        <w:tc>
          <w:tcPr>
            <w:tcW w:w="120" w:type="dxa"/>
            <w:vAlign w:val="bottom"/>
            <w:shd w:val="clear" w:color="auto" w:fill="CFF0FC"/>
          </w:tcPr>
          <w:p>
            <w:pPr>
              <w:spacing w:after="0"/>
              <w:rPr>
                <w:sz w:val="11"/>
                <w:szCs w:val="11"/>
                <w:color w:val="auto"/>
              </w:rPr>
            </w:pPr>
          </w:p>
        </w:tc>
        <w:tc>
          <w:tcPr>
            <w:tcW w:w="1320" w:type="dxa"/>
            <w:vAlign w:val="bottom"/>
            <w:tcBorders>
              <w:right w:val="single" w:sz="8" w:color="auto"/>
            </w:tcBorders>
            <w:shd w:val="clear" w:color="auto" w:fill="CFF0FC"/>
          </w:tcPr>
          <w:p>
            <w:pPr>
              <w:jc w:val="right"/>
              <w:ind w:right="53"/>
              <w:spacing w:after="0" w:line="136" w:lineRule="exact"/>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13"/>
              <w:spacing w:after="0" w:line="136" w:lineRule="exact"/>
              <w:rPr>
                <w:sz w:val="20"/>
                <w:szCs w:val="20"/>
                <w:color w:val="auto"/>
              </w:rPr>
            </w:pPr>
            <w:r>
              <w:rPr>
                <w:rFonts w:ascii="Arial" w:cs="Arial" w:eastAsia="Arial" w:hAnsi="Arial"/>
                <w:sz w:val="13"/>
                <w:szCs w:val="13"/>
                <w:color w:val="auto"/>
              </w:rPr>
              <w:t>30,660</w:t>
            </w: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33"/>
              <w:spacing w:after="0" w:line="136"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73"/>
              <w:spacing w:after="0" w:line="136"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1"/>
                <w:szCs w:val="11"/>
                <w:color w:val="auto"/>
              </w:rPr>
            </w:pPr>
          </w:p>
        </w:tc>
        <w:tc>
          <w:tcPr>
            <w:tcW w:w="1040" w:type="dxa"/>
            <w:vAlign w:val="bottom"/>
            <w:tcBorders>
              <w:right w:val="single" w:sz="8" w:color="auto"/>
            </w:tcBorders>
            <w:shd w:val="clear" w:color="auto" w:fill="CFF0FC"/>
          </w:tcPr>
          <w:p>
            <w:pPr>
              <w:jc w:val="right"/>
              <w:ind w:right="193"/>
              <w:spacing w:after="0" w:line="136"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1"/>
                <w:szCs w:val="11"/>
                <w:color w:val="auto"/>
              </w:rPr>
            </w:pPr>
          </w:p>
        </w:tc>
        <w:tc>
          <w:tcPr>
            <w:tcW w:w="820" w:type="dxa"/>
            <w:vAlign w:val="bottom"/>
            <w:tcBorders>
              <w:right w:val="single" w:sz="8" w:color="auto"/>
            </w:tcBorders>
            <w:shd w:val="clear" w:color="auto" w:fill="CFF0FC"/>
          </w:tcPr>
          <w:p>
            <w:pPr>
              <w:jc w:val="right"/>
              <w:ind w:right="53"/>
              <w:spacing w:after="0" w:line="136" w:lineRule="exact"/>
              <w:rPr>
                <w:sz w:val="20"/>
                <w:szCs w:val="20"/>
                <w:color w:val="auto"/>
              </w:rPr>
            </w:pPr>
            <w:r>
              <w:rPr>
                <w:rFonts w:ascii="Arial" w:cs="Arial" w:eastAsia="Arial" w:hAnsi="Arial"/>
                <w:sz w:val="13"/>
                <w:szCs w:val="13"/>
                <w:color w:val="auto"/>
              </w:rPr>
              <w:t>30,660</w:t>
            </w:r>
          </w:p>
        </w:tc>
        <w:tc>
          <w:tcPr>
            <w:tcW w:w="0" w:type="dxa"/>
            <w:vAlign w:val="bottom"/>
          </w:tcPr>
          <w:p>
            <w:pPr>
              <w:spacing w:after="0"/>
              <w:rPr>
                <w:sz w:val="1"/>
                <w:szCs w:val="1"/>
                <w:color w:val="auto"/>
              </w:rPr>
            </w:pPr>
          </w:p>
        </w:tc>
      </w:tr>
      <w:tr>
        <w:trPr>
          <w:trHeight w:val="161"/>
        </w:trPr>
        <w:tc>
          <w:tcPr>
            <w:tcW w:w="2800" w:type="dxa"/>
            <w:vAlign w:val="bottom"/>
            <w:tcBorders>
              <w:left w:val="single" w:sz="8" w:color="CFF0FC"/>
              <w:right w:val="single" w:sz="8" w:color="auto"/>
            </w:tcBorders>
            <w:shd w:val="clear" w:color="auto" w:fill="CFF0FC"/>
          </w:tcPr>
          <w:p>
            <w:pPr>
              <w:spacing w:after="0"/>
              <w:rPr>
                <w:sz w:val="20"/>
                <w:szCs w:val="20"/>
                <w:color w:val="auto"/>
              </w:rPr>
            </w:pPr>
            <w:r>
              <w:rPr>
                <w:rFonts w:ascii="Arial" w:cs="Arial" w:eastAsia="Arial" w:hAnsi="Arial"/>
                <w:sz w:val="13"/>
                <w:szCs w:val="13"/>
                <w:color w:val="auto"/>
              </w:rPr>
              <w:t>expenses</w:t>
            </w:r>
          </w:p>
        </w:tc>
        <w:tc>
          <w:tcPr>
            <w:tcW w:w="120" w:type="dxa"/>
            <w:vAlign w:val="bottom"/>
            <w:shd w:val="clear" w:color="auto" w:fill="CFF0FC"/>
          </w:tcPr>
          <w:p>
            <w:pPr>
              <w:spacing w:after="0"/>
              <w:rPr>
                <w:sz w:val="14"/>
                <w:szCs w:val="14"/>
                <w:color w:val="auto"/>
              </w:rPr>
            </w:pPr>
          </w:p>
        </w:tc>
        <w:tc>
          <w:tcPr>
            <w:tcW w:w="1320" w:type="dxa"/>
            <w:vAlign w:val="bottom"/>
            <w:tcBorders>
              <w:right w:val="single" w:sz="8" w:color="auto"/>
            </w:tcBorders>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tcBorders>
              <w:right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tcBorders>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Repurchase of common stock</w:t>
            </w:r>
          </w:p>
        </w:tc>
        <w:tc>
          <w:tcPr>
            <w:tcW w:w="12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13"/>
              <w:spacing w:after="0"/>
              <w:rPr>
                <w:sz w:val="20"/>
                <w:szCs w:val="20"/>
                <w:color w:val="auto"/>
              </w:rPr>
            </w:pPr>
            <w:r>
              <w:rPr>
                <w:rFonts w:ascii="Arial" w:cs="Arial" w:eastAsia="Arial" w:hAnsi="Arial"/>
                <w:sz w:val="13"/>
                <w:szCs w:val="13"/>
                <w:color w:val="auto"/>
              </w:rPr>
              <w:t>58,029</w:t>
            </w:r>
          </w:p>
        </w:tc>
        <w:tc>
          <w:tcPr>
            <w:tcW w:w="120" w:type="dxa"/>
            <w:vAlign w:val="bottom"/>
          </w:tcPr>
          <w:p>
            <w:pPr>
              <w:spacing w:after="0"/>
              <w:rPr>
                <w:sz w:val="12"/>
                <w:szCs w:val="12"/>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3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40" w:type="dxa"/>
            <w:vAlign w:val="bottom"/>
            <w:tcBorders>
              <w:right w:val="single" w:sz="8" w:color="auto"/>
            </w:tcBorders>
          </w:tcPr>
          <w:p>
            <w:pPr>
              <w:jc w:val="right"/>
              <w:ind w:right="133"/>
              <w:spacing w:after="0"/>
              <w:rPr>
                <w:sz w:val="20"/>
                <w:szCs w:val="20"/>
                <w:color w:val="auto"/>
              </w:rPr>
            </w:pPr>
            <w:r>
              <w:rPr>
                <w:rFonts w:ascii="Arial" w:cs="Arial" w:eastAsia="Arial" w:hAnsi="Arial"/>
                <w:sz w:val="13"/>
                <w:szCs w:val="13"/>
                <w:color w:val="auto"/>
              </w:rPr>
              <w:t>(285,220)</w:t>
            </w:r>
          </w:p>
        </w:tc>
        <w:tc>
          <w:tcPr>
            <w:tcW w:w="180" w:type="dxa"/>
            <w:vAlign w:val="bottom"/>
          </w:tcPr>
          <w:p>
            <w:pPr>
              <w:spacing w:after="0"/>
              <w:rPr>
                <w:sz w:val="12"/>
                <w:szCs w:val="12"/>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(227,191)</w:t>
            </w:r>
          </w:p>
        </w:tc>
        <w:tc>
          <w:tcPr>
            <w:tcW w:w="0" w:type="dxa"/>
            <w:vAlign w:val="bottom"/>
          </w:tcPr>
          <w:p>
            <w:pPr>
              <w:spacing w:after="0"/>
              <w:rPr>
                <w:sz w:val="1"/>
                <w:szCs w:val="1"/>
                <w:color w:val="auto"/>
              </w:rPr>
            </w:pPr>
          </w:p>
        </w:tc>
      </w:tr>
      <w:tr>
        <w:trPr>
          <w:trHeight w:val="136"/>
        </w:trPr>
        <w:tc>
          <w:tcPr>
            <w:tcW w:w="2800" w:type="dxa"/>
            <w:vAlign w:val="bottom"/>
            <w:tcBorders>
              <w:left w:val="single" w:sz="8" w:color="CFF0FC"/>
              <w:right w:val="single" w:sz="8" w:color="auto"/>
            </w:tcBorders>
            <w:shd w:val="clear" w:color="auto" w:fill="CFF0FC"/>
          </w:tcPr>
          <w:p>
            <w:pPr>
              <w:spacing w:after="0" w:line="136" w:lineRule="exact"/>
              <w:rPr>
                <w:sz w:val="20"/>
                <w:szCs w:val="20"/>
                <w:color w:val="auto"/>
              </w:rPr>
            </w:pPr>
            <w:r>
              <w:rPr>
                <w:rFonts w:ascii="Arial" w:cs="Arial" w:eastAsia="Arial" w:hAnsi="Arial"/>
                <w:sz w:val="13"/>
                <w:szCs w:val="13"/>
                <w:color w:val="auto"/>
              </w:rPr>
              <w:t>Adjusted redeemable noncontrolling interest</w:t>
            </w:r>
          </w:p>
        </w:tc>
        <w:tc>
          <w:tcPr>
            <w:tcW w:w="120" w:type="dxa"/>
            <w:vAlign w:val="bottom"/>
            <w:shd w:val="clear" w:color="auto" w:fill="CFF0FC"/>
          </w:tcPr>
          <w:p>
            <w:pPr>
              <w:spacing w:after="0"/>
              <w:rPr>
                <w:sz w:val="11"/>
                <w:szCs w:val="11"/>
                <w:color w:val="auto"/>
              </w:rPr>
            </w:pPr>
          </w:p>
        </w:tc>
        <w:tc>
          <w:tcPr>
            <w:tcW w:w="1320" w:type="dxa"/>
            <w:vAlign w:val="bottom"/>
            <w:tcBorders>
              <w:right w:val="single" w:sz="8" w:color="auto"/>
            </w:tcBorders>
            <w:shd w:val="clear" w:color="auto" w:fill="CFF0FC"/>
          </w:tcPr>
          <w:p>
            <w:pPr>
              <w:jc w:val="right"/>
              <w:ind w:right="53"/>
              <w:spacing w:after="0" w:line="136" w:lineRule="exact"/>
              <w:rPr>
                <w:sz w:val="20"/>
                <w:szCs w:val="20"/>
                <w:color w:val="auto"/>
              </w:rPr>
            </w:pPr>
            <w:r>
              <w:rPr>
                <w:rFonts w:ascii="Arial" w:cs="Arial" w:eastAsia="Arial" w:hAnsi="Arial"/>
                <w:sz w:val="13"/>
                <w:szCs w:val="13"/>
                <w:color w:val="auto"/>
              </w:rPr>
              <w:t>1,797</w:t>
            </w: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13"/>
              <w:spacing w:after="0" w:line="136"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(1,797)</w:t>
            </w:r>
          </w:p>
        </w:tc>
        <w:tc>
          <w:tcPr>
            <w:tcW w:w="12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73"/>
              <w:spacing w:after="0" w:line="136"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1"/>
                <w:szCs w:val="11"/>
                <w:color w:val="auto"/>
              </w:rPr>
            </w:pPr>
          </w:p>
        </w:tc>
        <w:tc>
          <w:tcPr>
            <w:tcW w:w="1040" w:type="dxa"/>
            <w:vAlign w:val="bottom"/>
            <w:tcBorders>
              <w:right w:val="single" w:sz="8" w:color="auto"/>
            </w:tcBorders>
            <w:shd w:val="clear" w:color="auto" w:fill="CFF0FC"/>
          </w:tcPr>
          <w:p>
            <w:pPr>
              <w:jc w:val="right"/>
              <w:ind w:right="193"/>
              <w:spacing w:after="0" w:line="136"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1"/>
                <w:szCs w:val="11"/>
                <w:color w:val="auto"/>
              </w:rPr>
            </w:pPr>
          </w:p>
        </w:tc>
        <w:tc>
          <w:tcPr>
            <w:tcW w:w="820" w:type="dxa"/>
            <w:vAlign w:val="bottom"/>
            <w:tcBorders>
              <w:right w:val="single" w:sz="8" w:color="auto"/>
            </w:tcBorders>
            <w:shd w:val="clear" w:color="auto" w:fill="CFF0FC"/>
          </w:tcPr>
          <w:p>
            <w:pPr>
              <w:jc w:val="right"/>
              <w:spacing w:after="0" w:line="136" w:lineRule="exact"/>
              <w:rPr>
                <w:sz w:val="20"/>
                <w:szCs w:val="20"/>
                <w:color w:val="auto"/>
              </w:rPr>
            </w:pPr>
            <w:r>
              <w:rPr>
                <w:rFonts w:ascii="Arial" w:cs="Arial" w:eastAsia="Arial" w:hAnsi="Arial"/>
                <w:sz w:val="13"/>
                <w:szCs w:val="13"/>
                <w:color w:val="auto"/>
              </w:rPr>
              <w:t>(1,797)</w:t>
            </w:r>
          </w:p>
        </w:tc>
        <w:tc>
          <w:tcPr>
            <w:tcW w:w="0" w:type="dxa"/>
            <w:vAlign w:val="bottom"/>
          </w:tcPr>
          <w:p>
            <w:pPr>
              <w:spacing w:after="0"/>
              <w:rPr>
                <w:sz w:val="1"/>
                <w:szCs w:val="1"/>
                <w:color w:val="auto"/>
              </w:rPr>
            </w:pPr>
          </w:p>
        </w:tc>
      </w:tr>
      <w:tr>
        <w:trPr>
          <w:trHeight w:val="161"/>
        </w:trPr>
        <w:tc>
          <w:tcPr>
            <w:tcW w:w="2800" w:type="dxa"/>
            <w:vAlign w:val="bottom"/>
            <w:tcBorders>
              <w:left w:val="single" w:sz="8" w:color="CFF0FC"/>
              <w:right w:val="single" w:sz="8" w:color="auto"/>
            </w:tcBorders>
            <w:shd w:val="clear" w:color="auto" w:fill="CFF0FC"/>
          </w:tcPr>
          <w:p>
            <w:pPr>
              <w:spacing w:after="0"/>
              <w:rPr>
                <w:sz w:val="20"/>
                <w:szCs w:val="20"/>
                <w:color w:val="auto"/>
              </w:rPr>
            </w:pPr>
            <w:r>
              <w:rPr>
                <w:rFonts w:ascii="Arial" w:cs="Arial" w:eastAsia="Arial" w:hAnsi="Arial"/>
                <w:sz w:val="13"/>
                <w:szCs w:val="13"/>
                <w:color w:val="auto"/>
              </w:rPr>
              <w:t>to redemption value</w:t>
            </w:r>
          </w:p>
        </w:tc>
        <w:tc>
          <w:tcPr>
            <w:tcW w:w="120" w:type="dxa"/>
            <w:vAlign w:val="bottom"/>
            <w:shd w:val="clear" w:color="auto" w:fill="CFF0FC"/>
          </w:tcPr>
          <w:p>
            <w:pPr>
              <w:spacing w:after="0"/>
              <w:rPr>
                <w:sz w:val="14"/>
                <w:szCs w:val="14"/>
                <w:color w:val="auto"/>
              </w:rPr>
            </w:pPr>
          </w:p>
        </w:tc>
        <w:tc>
          <w:tcPr>
            <w:tcW w:w="1320" w:type="dxa"/>
            <w:vAlign w:val="bottom"/>
            <w:tcBorders>
              <w:right w:val="single" w:sz="8" w:color="auto"/>
            </w:tcBorders>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tcBorders>
              <w:right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tcBorders>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Other activity</w:t>
            </w:r>
          </w:p>
        </w:tc>
        <w:tc>
          <w:tcPr>
            <w:tcW w:w="120" w:type="dxa"/>
            <w:vAlign w:val="bottom"/>
            <w:tcBorders>
              <w:bottom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1,083</w:t>
            </w: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right"/>
              <w:ind w:right="19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color w:val="auto"/>
              </w:rPr>
              <w:t>1,083</w:t>
            </w:r>
          </w:p>
        </w:tc>
        <w:tc>
          <w:tcPr>
            <w:tcW w:w="0" w:type="dxa"/>
            <w:vAlign w:val="bottom"/>
          </w:tcPr>
          <w:p>
            <w:pPr>
              <w:spacing w:after="0"/>
              <w:rPr>
                <w:sz w:val="1"/>
                <w:szCs w:val="1"/>
                <w:color w:val="auto"/>
              </w:rPr>
            </w:pPr>
          </w:p>
        </w:tc>
      </w:tr>
      <w:tr>
        <w:trPr>
          <w:trHeight w:val="142"/>
        </w:trPr>
        <w:tc>
          <w:tcPr>
            <w:tcW w:w="2800" w:type="dxa"/>
            <w:vAlign w:val="bottom"/>
            <w:tcBorders>
              <w:left w:val="single" w:sz="8" w:color="auto"/>
              <w:bottom w:val="single" w:sz="8" w:color="auto"/>
              <w:right w:val="single" w:sz="8" w:color="auto"/>
            </w:tcBorders>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Balance as of Sept. 30, 2024</w:t>
            </w:r>
          </w:p>
        </w:tc>
        <w:tc>
          <w:tcPr>
            <w:tcW w:w="120" w:type="dxa"/>
            <w:vAlign w:val="bottom"/>
            <w:tcBorders>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320" w:type="dxa"/>
            <w:vAlign w:val="bottom"/>
            <w:tcBorders>
              <w:bottom w:val="single" w:sz="8" w:color="auto"/>
              <w:right w:val="single" w:sz="8" w:color="auto"/>
            </w:tcBorders>
            <w:shd w:val="clear" w:color="auto" w:fill="CFF0FC"/>
          </w:tcPr>
          <w:p>
            <w:pPr>
              <w:jc w:val="right"/>
              <w:ind w:right="53"/>
              <w:spacing w:after="0" w:line="142" w:lineRule="exact"/>
              <w:rPr>
                <w:sz w:val="20"/>
                <w:szCs w:val="20"/>
                <w:color w:val="auto"/>
              </w:rPr>
            </w:pPr>
            <w:r>
              <w:rPr>
                <w:rFonts w:ascii="Arial" w:cs="Arial" w:eastAsia="Arial" w:hAnsi="Arial"/>
                <w:sz w:val="13"/>
                <w:szCs w:val="13"/>
                <w:b w:val="1"/>
                <w:bCs w:val="1"/>
                <w:color w:val="auto"/>
              </w:rPr>
              <w:t>19,936</w:t>
            </w:r>
          </w:p>
        </w:tc>
        <w:tc>
          <w:tcPr>
            <w:tcW w:w="260" w:type="dxa"/>
            <w:vAlign w:val="bottom"/>
            <w:tcBorders>
              <w:bottom w:val="single" w:sz="8" w:color="CFF0FC"/>
              <w:right w:val="single" w:sz="8" w:color="auto"/>
            </w:tcBorders>
            <w:gridSpan w:val="2"/>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324,419</w:t>
            </w:r>
          </w:p>
        </w:tc>
        <w:tc>
          <w:tcPr>
            <w:tcW w:w="220" w:type="dxa"/>
            <w:vAlign w:val="bottom"/>
            <w:tcBorders>
              <w:bottom w:val="single" w:sz="8" w:color="auto"/>
            </w:tcBorders>
            <w:shd w:val="clear" w:color="auto" w:fill="CFF0FC"/>
          </w:tcPr>
          <w:p>
            <w:pPr>
              <w:ind w:left="60"/>
              <w:spacing w:after="0" w:line="142" w:lineRule="exact"/>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auto"/>
            </w:tcBorders>
            <w:shd w:val="clear" w:color="auto" w:fill="CFF0FC"/>
          </w:tcPr>
          <w:p>
            <w:pPr>
              <w:jc w:val="right"/>
              <w:ind w:right="13"/>
              <w:spacing w:after="0" w:line="142" w:lineRule="exact"/>
              <w:rPr>
                <w:sz w:val="20"/>
                <w:szCs w:val="20"/>
                <w:color w:val="auto"/>
              </w:rPr>
            </w:pPr>
            <w:r>
              <w:rPr>
                <w:rFonts w:ascii="Arial" w:cs="Arial" w:eastAsia="Arial" w:hAnsi="Arial"/>
                <w:sz w:val="13"/>
                <w:szCs w:val="13"/>
                <w:b w:val="1"/>
                <w:bCs w:val="1"/>
                <w:color w:val="auto"/>
              </w:rPr>
              <w:t>27,941</w:t>
            </w: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shd w:val="clear" w:color="auto" w:fill="CFF0FC"/>
          </w:tcPr>
          <w:p>
            <w:pPr>
              <w:jc w:val="right"/>
              <w:ind w:right="33"/>
              <w:spacing w:after="0" w:line="142" w:lineRule="exact"/>
              <w:rPr>
                <w:sz w:val="20"/>
                <w:szCs w:val="20"/>
                <w:color w:val="auto"/>
              </w:rPr>
            </w:pPr>
            <w:r>
              <w:rPr>
                <w:rFonts w:ascii="Arial" w:cs="Arial" w:eastAsia="Arial" w:hAnsi="Arial"/>
                <w:sz w:val="13"/>
                <w:szCs w:val="13"/>
                <w:b w:val="1"/>
                <w:bCs w:val="1"/>
                <w:color w:val="auto"/>
              </w:rPr>
              <w:t>8,393,910</w:t>
            </w:r>
          </w:p>
        </w:tc>
        <w:tc>
          <w:tcPr>
            <w:tcW w:w="120" w:type="dxa"/>
            <w:vAlign w:val="bottom"/>
            <w:tcBorders>
              <w:bottom w:val="single" w:sz="8" w:color="auto"/>
            </w:tcBorders>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1300" w:type="dxa"/>
            <w:vAlign w:val="bottom"/>
            <w:tcBorders>
              <w:bottom w:val="single" w:sz="8" w:color="auto"/>
            </w:tcBorders>
            <w:shd w:val="clear" w:color="auto" w:fill="CFF0FC"/>
          </w:tcPr>
          <w:p>
            <w:pPr>
              <w:jc w:val="right"/>
              <w:ind w:right="33"/>
              <w:spacing w:after="0" w:line="142" w:lineRule="exact"/>
              <w:rPr>
                <w:sz w:val="20"/>
                <w:szCs w:val="20"/>
                <w:color w:val="auto"/>
              </w:rPr>
            </w:pPr>
            <w:r>
              <w:rPr>
                <w:rFonts w:ascii="Arial" w:cs="Arial" w:eastAsia="Arial" w:hAnsi="Arial"/>
                <w:sz w:val="13"/>
                <w:szCs w:val="13"/>
                <w:b w:val="1"/>
                <w:bCs w:val="1"/>
                <w:color w:val="auto"/>
              </w:rPr>
              <w:t>(116,277)</w:t>
            </w:r>
          </w:p>
        </w:tc>
        <w:tc>
          <w:tcPr>
            <w:tcW w:w="2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1040" w:type="dxa"/>
            <w:vAlign w:val="bottom"/>
            <w:tcBorders>
              <w:bottom w:val="single" w:sz="8" w:color="auto"/>
              <w:right w:val="single" w:sz="8" w:color="auto"/>
            </w:tcBorders>
            <w:shd w:val="clear" w:color="auto" w:fill="CFF0FC"/>
          </w:tcPr>
          <w:p>
            <w:pPr>
              <w:jc w:val="right"/>
              <w:ind w:right="133"/>
              <w:spacing w:after="0" w:line="142" w:lineRule="exact"/>
              <w:rPr>
                <w:sz w:val="20"/>
                <w:szCs w:val="20"/>
                <w:color w:val="auto"/>
              </w:rPr>
            </w:pPr>
            <w:r>
              <w:rPr>
                <w:rFonts w:ascii="Arial" w:cs="Arial" w:eastAsia="Arial" w:hAnsi="Arial"/>
                <w:sz w:val="13"/>
                <w:szCs w:val="13"/>
                <w:b w:val="1"/>
                <w:bCs w:val="1"/>
                <w:color w:val="auto"/>
              </w:rPr>
              <w:t>(5,758,625)</w:t>
            </w:r>
          </w:p>
        </w:tc>
        <w:tc>
          <w:tcPr>
            <w:tcW w:w="18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right w:val="single" w:sz="8" w:color="auto"/>
            </w:tcBorders>
            <w:shd w:val="clear" w:color="auto" w:fill="CFF0FC"/>
          </w:tcPr>
          <w:p>
            <w:pPr>
              <w:jc w:val="right"/>
              <w:ind w:right="53"/>
              <w:spacing w:after="0" w:line="142" w:lineRule="exact"/>
              <w:rPr>
                <w:sz w:val="20"/>
                <w:szCs w:val="20"/>
                <w:color w:val="auto"/>
              </w:rPr>
            </w:pPr>
            <w:r>
              <w:rPr>
                <w:rFonts w:ascii="Arial" w:cs="Arial" w:eastAsia="Arial" w:hAnsi="Arial"/>
                <w:sz w:val="13"/>
                <w:szCs w:val="13"/>
                <w:b w:val="1"/>
                <w:bCs w:val="1"/>
                <w:color w:val="auto"/>
              </w:rPr>
              <w:t>2,871,368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-3063875</wp:posOffset>
            </wp:positionV>
            <wp:extent cx="98425" cy="2311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8425" cy="23114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-2103755</wp:posOffset>
            </wp:positionV>
            <wp:extent cx="98425" cy="2311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8425" cy="231140"/>
                    </a:xfrm>
                    <a:prstGeom prst="rect">
                      <a:avLst/>
                    </a:prstGeom>
                    <a:noFill/>
                  </pic:spPr>
                </pic:pic>
              </a:graphicData>
            </a:graphic>
          </wp:anchor>
        </w:drawing>
        <w:drawing>
          <wp:anchor simplePos="0" relativeHeight="251657728" behindDoc="1" locked="0" layoutInCell="0" allowOverlap="1">
            <wp:simplePos x="0" y="0"/>
            <wp:positionH relativeFrom="column">
              <wp:posOffset>2752725</wp:posOffset>
            </wp:positionH>
            <wp:positionV relativeFrom="paragraph">
              <wp:posOffset>-1666240</wp:posOffset>
            </wp:positionV>
            <wp:extent cx="34290" cy="419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1973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-1177925</wp:posOffset>
            </wp:positionV>
            <wp:extent cx="98425" cy="2311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8425" cy="23114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-217805</wp:posOffset>
            </wp:positionV>
            <wp:extent cx="98425" cy="2311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8425" cy="23114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TEGNA Inc.</w:t>
      </w:r>
    </w:p>
    <w:p>
      <w:pPr>
        <w:spacing w:after="0" w:line="194" w:lineRule="exact"/>
        <w:rPr>
          <w:sz w:val="20"/>
          <w:szCs w:val="20"/>
          <w:color w:val="auto"/>
        </w:rPr>
      </w:pPr>
    </w:p>
    <w:p>
      <w:pPr>
        <w:ind w:right="5420"/>
        <w:spacing w:after="0" w:line="493" w:lineRule="auto"/>
        <w:rPr>
          <w:sz w:val="20"/>
          <w:szCs w:val="20"/>
          <w:color w:val="auto"/>
        </w:rPr>
      </w:pPr>
      <w:r>
        <w:rPr>
          <w:rFonts w:ascii="Arial" w:cs="Arial" w:eastAsia="Arial" w:hAnsi="Arial"/>
          <w:sz w:val="16"/>
          <w:szCs w:val="16"/>
          <w:b w:val="1"/>
          <w:bCs w:val="1"/>
          <w:color w:val="auto"/>
        </w:rPr>
        <w:t>NOTES TO CONDENSED CONSOLIDATED FINANCIAL STATEMENTS NOTE 1 – Basis of presentation, merger agreement and accounting policies</w:t>
      </w:r>
    </w:p>
    <w:p>
      <w:pPr>
        <w:jc w:val="both"/>
        <w:ind w:right="80" w:firstLine="374"/>
        <w:spacing w:after="0" w:line="253" w:lineRule="auto"/>
        <w:rPr>
          <w:sz w:val="20"/>
          <w:szCs w:val="20"/>
          <w:color w:val="auto"/>
        </w:rPr>
      </w:pPr>
      <w:r>
        <w:rPr>
          <w:rFonts w:ascii="Arial" w:cs="Arial" w:eastAsia="Arial" w:hAnsi="Arial"/>
          <w:sz w:val="16"/>
          <w:szCs w:val="16"/>
          <w:b w:val="1"/>
          <w:bCs w:val="1"/>
          <w:i w:val="1"/>
          <w:iCs w:val="1"/>
          <w:color w:val="auto"/>
        </w:rPr>
        <w:t xml:space="preserve">Basis of presentation: </w:t>
      </w:r>
      <w:r>
        <w:rPr>
          <w:rFonts w:ascii="Arial" w:cs="Arial" w:eastAsia="Arial" w:hAnsi="Arial"/>
          <w:sz w:val="16"/>
          <w:szCs w:val="16"/>
          <w:color w:val="auto"/>
        </w:rPr>
        <w:t>Our (or TEGNA’s) accompanying unaudited condensed consolidated financial statements have been prepared in accordance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U.S. generally accepted accounting principles (GAAP) for interim financial reporting, the instructions for Form 10-Q and Article 10 of the U.S. Securities and Exchange Commission (SEC) Regulation S-X. Accordingly, they do not include all information and footnotes which are normally included in the Form</w:t>
      </w:r>
    </w:p>
    <w:p>
      <w:pPr>
        <w:spacing w:after="0" w:line="1"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10-K and annual report to shareholders. In our opinion, the condensed consolidated financial statements reflect all adjustments of a normal recurring nature necessary for a fair statement of the results for the interim periods presented. The condensed consolidated financial statements should be read in conjunction with our audited consolidated financial statements included in our Annual Report on Form 10-K for the year ended December 31, 2024.</w:t>
      </w:r>
    </w:p>
    <w:p>
      <w:pPr>
        <w:spacing w:after="0" w:line="151" w:lineRule="exact"/>
        <w:rPr>
          <w:sz w:val="20"/>
          <w:szCs w:val="20"/>
          <w:color w:val="auto"/>
        </w:rPr>
      </w:pPr>
    </w:p>
    <w:p>
      <w:pPr>
        <w:ind w:firstLine="374"/>
        <w:spacing w:after="0" w:line="252" w:lineRule="auto"/>
        <w:rPr>
          <w:sz w:val="20"/>
          <w:szCs w:val="20"/>
          <w:color w:val="auto"/>
        </w:rPr>
      </w:pPr>
      <w:r>
        <w:rPr>
          <w:rFonts w:ascii="Arial" w:cs="Arial" w:eastAsia="Arial" w:hAnsi="Arial"/>
          <w:sz w:val="16"/>
          <w:szCs w:val="16"/>
          <w:color w:val="auto"/>
        </w:rPr>
        <w:t>The preparation of these condensed consolidated financial statements requires us to make estimates and assumptions that affect the amounts reported in the condensed consolidated financial statements and accompanying notes. We use the best information available in developing significant estimates inherent in our financial statements. Actual results could differ from these estimates, and these differences resulting from changes in facts and circumstances could be material. Significant estimates include, but are not limited to, evaluation of goodwill and other intangible assets for impairment, allocation of purchase price to assets and liabilities in business combinations, fair value measurements, post-retirement benefit plans, income taxes including deferred taxes, and contingencies. The condensed consolidated financial statements include the accounts of subsidiaries we control. We eliminate all intercompany balances, transactions, and profits in consolidation. Investments in entities over which we have significant influence, but do not have control, are accounted for under the equity method.</w:t>
      </w:r>
    </w:p>
    <w:p>
      <w:pPr>
        <w:spacing w:after="0" w:line="156" w:lineRule="exact"/>
        <w:rPr>
          <w:sz w:val="20"/>
          <w:szCs w:val="20"/>
          <w:color w:val="auto"/>
        </w:rPr>
      </w:pPr>
    </w:p>
    <w:p>
      <w:pPr>
        <w:ind w:firstLine="374"/>
        <w:spacing w:after="0" w:line="253" w:lineRule="auto"/>
        <w:rPr>
          <w:sz w:val="20"/>
          <w:szCs w:val="20"/>
          <w:color w:val="auto"/>
        </w:rPr>
      </w:pPr>
      <w:r>
        <w:rPr>
          <w:rFonts w:ascii="Arial" w:cs="Arial" w:eastAsia="Arial" w:hAnsi="Arial"/>
          <w:sz w:val="16"/>
          <w:szCs w:val="16"/>
          <w:b w:val="1"/>
          <w:bCs w:val="1"/>
          <w:i w:val="1"/>
          <w:iCs w:val="1"/>
          <w:color w:val="auto"/>
        </w:rPr>
        <w:t xml:space="preserve">Segment presentation: </w:t>
      </w:r>
      <w:r>
        <w:rPr>
          <w:rFonts w:ascii="Arial" w:cs="Arial" w:eastAsia="Arial" w:hAnsi="Arial"/>
          <w:sz w:val="16"/>
          <w:szCs w:val="16"/>
          <w:color w:val="auto"/>
        </w:rPr>
        <w:t>We operate one operating and reportable segment, which primarily consists of our 64 television stations and two radio stations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in 51 markets. Our reportable segment structure has been determined based on our management and internal reporting structure, the nature of products and services we offer, and the financial information that is evaluated regularly by our chief operating decision maker (CODM), who is our Chief Executive Officer. The primary measures of profit or loss that our CODM utilizes to assess performance and allocate resources are Net income and Adjusted EBITDA. Within these measures, the significant expense measures that are regularly provided to our CODM are programming and employee compensation. The tables below provide reconciliations between revenue and the primary measures of profit or loss and include our significant expense measures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Quarter ended Sept. 30,</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Nine months ended Sept. 30,</w:t>
            </w:r>
          </w:p>
        </w:tc>
      </w:tr>
      <w:tr>
        <w:trPr>
          <w:trHeight w:val="183"/>
        </w:trPr>
        <w:tc>
          <w:tcPr>
            <w:tcW w:w="47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9"/>
              <w:spacing w:after="0" w:line="183" w:lineRule="exact"/>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99"/>
              <w:spacing w:after="0" w:line="183" w:lineRule="exact"/>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9"/>
              <w:spacing w:after="0" w:line="183" w:lineRule="exact"/>
              <w:rPr>
                <w:sz w:val="20"/>
                <w:szCs w:val="20"/>
                <w:color w:val="auto"/>
              </w:rPr>
            </w:pPr>
            <w:r>
              <w:rPr>
                <w:rFonts w:ascii="Arial" w:cs="Arial" w:eastAsia="Arial" w:hAnsi="Arial"/>
                <w:sz w:val="16"/>
                <w:szCs w:val="16"/>
                <w:b w:val="1"/>
                <w:bCs w:val="1"/>
                <w:color w:val="auto"/>
              </w:rPr>
              <w:t>2024</w:t>
            </w:r>
          </w:p>
        </w:tc>
      </w:tr>
      <w:tr>
        <w:trPr>
          <w:trHeight w:val="182"/>
        </w:trPr>
        <w:tc>
          <w:tcPr>
            <w:tcW w:w="47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w:t>
            </w:r>
          </w:p>
        </w:tc>
        <w:tc>
          <w:tcPr>
            <w:tcW w:w="28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650,791</w:t>
            </w:r>
          </w:p>
        </w:tc>
        <w:tc>
          <w:tcPr>
            <w:tcW w:w="48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806,827</w:t>
            </w:r>
          </w:p>
        </w:tc>
        <w:tc>
          <w:tcPr>
            <w:tcW w:w="50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2,005,885</w:t>
            </w:r>
          </w:p>
        </w:tc>
        <w:tc>
          <w:tcPr>
            <w:tcW w:w="52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2,231,442</w:t>
            </w:r>
          </w:p>
        </w:tc>
      </w:tr>
      <w:tr>
        <w:trPr>
          <w:trHeight w:val="189"/>
        </w:trPr>
        <w:tc>
          <w:tcPr>
            <w:tcW w:w="4700" w:type="dxa"/>
            <w:vAlign w:val="bottom"/>
          </w:tcPr>
          <w:p>
            <w:pPr>
              <w:spacing w:after="0"/>
              <w:rPr>
                <w:sz w:val="20"/>
                <w:szCs w:val="20"/>
                <w:color w:val="auto"/>
              </w:rPr>
            </w:pPr>
            <w:r>
              <w:rPr>
                <w:rFonts w:ascii="Arial" w:cs="Arial" w:eastAsia="Arial" w:hAnsi="Arial"/>
                <w:sz w:val="16"/>
                <w:szCs w:val="16"/>
                <w:color w:val="auto"/>
              </w:rPr>
              <w:t>Less: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4700" w:type="dxa"/>
            <w:vAlign w:val="bottom"/>
            <w:shd w:val="clear" w:color="auto" w:fill="CFF0FC"/>
          </w:tcPr>
          <w:p>
            <w:pPr>
              <w:ind w:left="60"/>
              <w:spacing w:after="0"/>
              <w:rPr>
                <w:sz w:val="20"/>
                <w:szCs w:val="20"/>
                <w:color w:val="auto"/>
              </w:rPr>
            </w:pPr>
            <w:r>
              <w:rPr>
                <w:rFonts w:ascii="Arial" w:cs="Arial" w:eastAsia="Arial" w:hAnsi="Arial"/>
                <w:sz w:val="16"/>
                <w:szCs w:val="16"/>
                <w:color w:val="auto"/>
              </w:rPr>
              <w:t>Programming</w:t>
            </w:r>
          </w:p>
        </w:tc>
        <w:tc>
          <w:tcPr>
            <w:tcW w:w="28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247,579</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243,354</w:t>
            </w: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761,110</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739,046</w:t>
            </w:r>
          </w:p>
        </w:tc>
      </w:tr>
      <w:tr>
        <w:trPr>
          <w:trHeight w:val="189"/>
        </w:trPr>
        <w:tc>
          <w:tcPr>
            <w:tcW w:w="4700" w:type="dxa"/>
            <w:vAlign w:val="bottom"/>
          </w:tcPr>
          <w:p>
            <w:pPr>
              <w:ind w:left="60"/>
              <w:spacing w:after="0" w:line="189" w:lineRule="exact"/>
              <w:rPr>
                <w:sz w:val="20"/>
                <w:szCs w:val="20"/>
                <w:color w:val="auto"/>
              </w:rPr>
            </w:pPr>
            <w:r>
              <w:rPr>
                <w:rFonts w:ascii="Arial" w:cs="Arial" w:eastAsia="Arial" w:hAnsi="Arial"/>
                <w:sz w:val="16"/>
                <w:szCs w:val="16"/>
                <w:color w:val="auto"/>
              </w:rPr>
              <w:t xml:space="preserve">Employee compensation </w:t>
            </w:r>
            <w:r>
              <w:rPr>
                <w:rFonts w:ascii="Arial" w:cs="Arial" w:eastAsia="Arial" w:hAnsi="Arial"/>
                <w:sz w:val="21"/>
                <w:szCs w:val="21"/>
                <w:color w:val="auto"/>
                <w:vertAlign w:val="superscript"/>
              </w:rPr>
              <w:t>(a)</w:t>
            </w:r>
          </w:p>
        </w:tc>
        <w:tc>
          <w:tcPr>
            <w:tcW w:w="28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171,983</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182,779</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510,457</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545,006</w:t>
            </w:r>
          </w:p>
        </w:tc>
      </w:tr>
      <w:tr>
        <w:trPr>
          <w:trHeight w:val="189"/>
        </w:trPr>
        <w:tc>
          <w:tcPr>
            <w:tcW w:w="4700" w:type="dxa"/>
            <w:vAlign w:val="bottom"/>
            <w:tcBorders>
              <w:bottom w:val="single" w:sz="8" w:color="auto"/>
            </w:tcBorders>
            <w:shd w:val="clear" w:color="auto" w:fill="CFF0FC"/>
          </w:tcPr>
          <w:p>
            <w:pPr>
              <w:ind w:left="60"/>
              <w:spacing w:after="0" w:line="189" w:lineRule="exact"/>
              <w:rPr>
                <w:sz w:val="20"/>
                <w:szCs w:val="20"/>
                <w:color w:val="auto"/>
              </w:rPr>
            </w:pPr>
            <w:r>
              <w:rPr>
                <w:rFonts w:ascii="Arial" w:cs="Arial" w:eastAsia="Arial" w:hAnsi="Arial"/>
                <w:sz w:val="16"/>
                <w:szCs w:val="16"/>
                <w:color w:val="auto"/>
              </w:rPr>
              <w:t xml:space="preserve">Other segment items </w:t>
            </w:r>
            <w:r>
              <w:rPr>
                <w:rFonts w:ascii="Arial" w:cs="Arial" w:eastAsia="Arial" w:hAnsi="Arial"/>
                <w:sz w:val="21"/>
                <w:szCs w:val="21"/>
                <w:color w:val="auto"/>
                <w:vertAlign w:val="superscript"/>
              </w:rPr>
              <w:t>(b)</w:t>
            </w:r>
          </w:p>
        </w:tc>
        <w:tc>
          <w:tcPr>
            <w:tcW w:w="28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100,577</w:t>
            </w:r>
          </w:p>
        </w:tc>
        <w:tc>
          <w:tcPr>
            <w:tcW w:w="2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111,191</w:t>
            </w:r>
          </w:p>
        </w:tc>
        <w:tc>
          <w:tcPr>
            <w:tcW w:w="2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316,456</w:t>
            </w:r>
          </w:p>
        </w:tc>
        <w:tc>
          <w:tcPr>
            <w:tcW w:w="20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327,973</w:t>
            </w:r>
          </w:p>
        </w:tc>
      </w:tr>
      <w:tr>
        <w:trPr>
          <w:trHeight w:val="183"/>
        </w:trPr>
        <w:tc>
          <w:tcPr>
            <w:tcW w:w="4700" w:type="dxa"/>
            <w:vAlign w:val="bottom"/>
          </w:tcPr>
          <w:p>
            <w:pPr>
              <w:spacing w:after="0" w:line="183" w:lineRule="exact"/>
              <w:rPr>
                <w:sz w:val="20"/>
                <w:szCs w:val="20"/>
                <w:color w:val="auto"/>
              </w:rPr>
            </w:pPr>
            <w:r>
              <w:rPr>
                <w:rFonts w:ascii="Arial" w:cs="Arial" w:eastAsia="Arial" w:hAnsi="Arial"/>
                <w:sz w:val="16"/>
                <w:szCs w:val="16"/>
                <w:color w:val="auto"/>
              </w:rPr>
              <w:t>Adjusted EBITDA</w:t>
            </w:r>
          </w:p>
        </w:tc>
        <w:tc>
          <w:tcPr>
            <w:tcW w:w="280" w:type="dxa"/>
            <w:vAlign w:val="bottom"/>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tcPr>
          <w:p>
            <w:pPr>
              <w:jc w:val="right"/>
              <w:ind w:right="59"/>
              <w:spacing w:after="0" w:line="183" w:lineRule="exact"/>
              <w:rPr>
                <w:sz w:val="20"/>
                <w:szCs w:val="20"/>
                <w:color w:val="auto"/>
              </w:rPr>
            </w:pPr>
            <w:r>
              <w:rPr>
                <w:rFonts w:ascii="Arial" w:cs="Arial" w:eastAsia="Arial" w:hAnsi="Arial"/>
                <w:sz w:val="16"/>
                <w:szCs w:val="16"/>
                <w:color w:val="auto"/>
              </w:rPr>
              <w:t>130,652</w:t>
            </w:r>
          </w:p>
        </w:tc>
        <w:tc>
          <w:tcPr>
            <w:tcW w:w="48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269,503</w:t>
            </w:r>
          </w:p>
        </w:tc>
        <w:tc>
          <w:tcPr>
            <w:tcW w:w="500" w:type="dxa"/>
            <w:vAlign w:val="bottom"/>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417,862</w:t>
            </w:r>
          </w:p>
        </w:tc>
        <w:tc>
          <w:tcPr>
            <w:tcW w:w="520" w:type="dxa"/>
            <w:vAlign w:val="bottom"/>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619,417</w:t>
            </w:r>
          </w:p>
        </w:tc>
      </w:tr>
      <w:tr>
        <w:trPr>
          <w:trHeight w:val="183"/>
        </w:trPr>
        <w:tc>
          <w:tcPr>
            <w:tcW w:w="4700" w:type="dxa"/>
            <w:vAlign w:val="bottom"/>
            <w:tcBorders>
              <w:top w:val="single" w:sz="8" w:color="auto"/>
              <w:bottom w:val="single" w:sz="8" w:color="auto"/>
            </w:tcBorders>
            <w:shd w:val="clear" w:color="auto" w:fill="CFF0FC"/>
          </w:tcPr>
          <w:p>
            <w:pPr>
              <w:ind w:left="60"/>
              <w:spacing w:after="0" w:line="183" w:lineRule="exact"/>
              <w:rPr>
                <w:sz w:val="20"/>
                <w:szCs w:val="20"/>
                <w:color w:val="auto"/>
              </w:rPr>
            </w:pPr>
            <w:r>
              <w:rPr>
                <w:rFonts w:ascii="Arial" w:cs="Arial" w:eastAsia="Arial" w:hAnsi="Arial"/>
                <w:sz w:val="16"/>
                <w:szCs w:val="16"/>
                <w:color w:val="auto"/>
              </w:rPr>
              <w:t xml:space="preserve">(Less) Plus: All other segment items </w:t>
            </w:r>
            <w:r>
              <w:rPr>
                <w:rFonts w:ascii="Arial" w:cs="Arial" w:eastAsia="Arial" w:hAnsi="Arial"/>
                <w:sz w:val="21"/>
                <w:szCs w:val="21"/>
                <w:color w:val="auto"/>
                <w:vertAlign w:val="superscript"/>
              </w:rPr>
              <w:t>(c)</w:t>
            </w:r>
          </w:p>
        </w:tc>
        <w:tc>
          <w:tcPr>
            <w:tcW w:w="280" w:type="dxa"/>
            <w:vAlign w:val="bottom"/>
            <w:tcBorders>
              <w:top w:val="single" w:sz="8" w:color="auto"/>
              <w:bottom w:val="single" w:sz="8" w:color="auto"/>
            </w:tcBorders>
            <w:shd w:val="clear" w:color="auto" w:fill="CFF0FC"/>
          </w:tcPr>
          <w:p>
            <w:pPr>
              <w:spacing w:after="0"/>
              <w:rPr>
                <w:sz w:val="15"/>
                <w:szCs w:val="15"/>
                <w:color w:val="auto"/>
              </w:rPr>
            </w:pPr>
          </w:p>
        </w:tc>
        <w:tc>
          <w:tcPr>
            <w:tcW w:w="11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(93,536)</w:t>
            </w:r>
          </w:p>
        </w:tc>
        <w:tc>
          <w:tcPr>
            <w:tcW w:w="2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spacing w:after="0"/>
              <w:rPr>
                <w:sz w:val="15"/>
                <w:szCs w:val="15"/>
                <w:color w:val="auto"/>
              </w:rPr>
            </w:pPr>
          </w:p>
        </w:tc>
        <w:tc>
          <w:tcPr>
            <w:tcW w:w="11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(122,315)</w:t>
            </w:r>
          </w:p>
        </w:tc>
        <w:tc>
          <w:tcPr>
            <w:tcW w:w="2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top w:val="single" w:sz="8" w:color="auto"/>
              <w:bottom w:val="single" w:sz="8" w:color="auto"/>
            </w:tcBorders>
            <w:shd w:val="clear" w:color="auto" w:fill="CFF0FC"/>
          </w:tcPr>
          <w:p>
            <w:pPr>
              <w:spacing w:after="0"/>
              <w:rPr>
                <w:sz w:val="15"/>
                <w:szCs w:val="15"/>
                <w:color w:val="auto"/>
              </w:rPr>
            </w:pPr>
          </w:p>
        </w:tc>
        <w:tc>
          <w:tcPr>
            <w:tcW w:w="12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(254,537)</w:t>
            </w:r>
          </w:p>
        </w:tc>
        <w:tc>
          <w:tcPr>
            <w:tcW w:w="20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top w:val="single" w:sz="8" w:color="auto"/>
              <w:bottom w:val="single" w:sz="8" w:color="auto"/>
            </w:tcBorders>
            <w:shd w:val="clear" w:color="auto" w:fill="CFF0FC"/>
          </w:tcPr>
          <w:p>
            <w:pPr>
              <w:spacing w:after="0"/>
              <w:rPr>
                <w:sz w:val="15"/>
                <w:szCs w:val="15"/>
                <w:color w:val="auto"/>
              </w:rPr>
            </w:pPr>
          </w:p>
        </w:tc>
        <w:tc>
          <w:tcPr>
            <w:tcW w:w="12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(200,938)</w:t>
            </w:r>
          </w:p>
        </w:tc>
      </w:tr>
      <w:tr>
        <w:trPr>
          <w:trHeight w:val="183"/>
        </w:trPr>
        <w:tc>
          <w:tcPr>
            <w:tcW w:w="4700" w:type="dxa"/>
            <w:vAlign w:val="bottom"/>
          </w:tcPr>
          <w:p>
            <w:pPr>
              <w:spacing w:after="0" w:line="183" w:lineRule="exact"/>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tcPr>
          <w:p>
            <w:pPr>
              <w:jc w:val="right"/>
              <w:ind w:right="59"/>
              <w:spacing w:after="0" w:line="183" w:lineRule="exact"/>
              <w:rPr>
                <w:sz w:val="20"/>
                <w:szCs w:val="20"/>
                <w:color w:val="auto"/>
              </w:rPr>
            </w:pPr>
            <w:r>
              <w:rPr>
                <w:rFonts w:ascii="Arial" w:cs="Arial" w:eastAsia="Arial" w:hAnsi="Arial"/>
                <w:sz w:val="16"/>
                <w:szCs w:val="16"/>
                <w:color w:val="auto"/>
              </w:rPr>
              <w:t>37,116</w:t>
            </w:r>
          </w:p>
        </w:tc>
        <w:tc>
          <w:tcPr>
            <w:tcW w:w="48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147,188</w:t>
            </w:r>
          </w:p>
        </w:tc>
        <w:tc>
          <w:tcPr>
            <w:tcW w:w="500" w:type="dxa"/>
            <w:vAlign w:val="bottom"/>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163,325</w:t>
            </w:r>
          </w:p>
        </w:tc>
        <w:tc>
          <w:tcPr>
            <w:tcW w:w="520" w:type="dxa"/>
            <w:vAlign w:val="bottom"/>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418,479</w:t>
            </w:r>
          </w:p>
        </w:tc>
      </w:tr>
      <w:tr>
        <w:trPr>
          <w:trHeight w:val="20"/>
        </w:trPr>
        <w:tc>
          <w:tcPr>
            <w:tcW w:w="4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-410845</wp:posOffset>
            </wp:positionV>
            <wp:extent cx="137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-410845</wp:posOffset>
            </wp:positionV>
            <wp:extent cx="1289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-410845</wp:posOffset>
            </wp:positionV>
            <wp:extent cx="1289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-153670</wp:posOffset>
            </wp:positionV>
            <wp:extent cx="137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-153670</wp:posOffset>
            </wp:positionV>
            <wp:extent cx="1289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-153670</wp:posOffset>
            </wp:positionV>
            <wp:extent cx="1289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3" w:lineRule="exact"/>
        <w:rPr>
          <w:sz w:val="20"/>
          <w:szCs w:val="20"/>
          <w:color w:val="auto"/>
        </w:rPr>
      </w:pPr>
    </w:p>
    <w:p>
      <w:pPr>
        <w:ind w:right="180" w:firstLine="8"/>
        <w:spacing w:after="0"/>
        <w:tabs>
          <w:tab w:leader="none" w:pos="123" w:val="left"/>
        </w:tabs>
        <w:numPr>
          <w:ilvl w:val="0"/>
          <w:numId w:val="6"/>
        </w:numPr>
        <w:rPr>
          <w:rFonts w:ascii="Arial" w:cs="Arial" w:eastAsia="Arial" w:hAnsi="Arial"/>
          <w:sz w:val="14"/>
          <w:szCs w:val="14"/>
          <w:color w:val="auto"/>
          <w:vertAlign w:val="superscript"/>
        </w:rPr>
      </w:pPr>
      <w:r>
        <w:rPr>
          <w:rFonts w:ascii="Arial" w:cs="Arial" w:eastAsia="Arial" w:hAnsi="Arial"/>
          <w:sz w:val="10"/>
          <w:szCs w:val="10"/>
          <w:color w:val="auto"/>
        </w:rPr>
        <w:t>Includes the cost associated with salaries, bonuses, stock-based compensation, benefits paid to our employees and adjusted to remove workforce restructuring and retention costs (including stock-based compensation and cash payments).</w:t>
      </w:r>
    </w:p>
    <w:p>
      <w:pPr>
        <w:spacing w:after="0" w:line="139" w:lineRule="exact"/>
        <w:rPr>
          <w:rFonts w:ascii="Arial" w:cs="Arial" w:eastAsia="Arial" w:hAnsi="Arial"/>
          <w:sz w:val="14"/>
          <w:szCs w:val="14"/>
          <w:color w:val="auto"/>
          <w:vertAlign w:val="superscript"/>
        </w:rPr>
      </w:pPr>
    </w:p>
    <w:p>
      <w:pPr>
        <w:ind w:left="140" w:hanging="132"/>
        <w:spacing w:after="0" w:line="228" w:lineRule="auto"/>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color w:val="auto"/>
        </w:rPr>
        <w:t>Primarily includes digital ad serving fees, professional service fees and costs associated with operating our facilities.</w:t>
      </w:r>
    </w:p>
    <w:p>
      <w:pPr>
        <w:spacing w:after="0" w:line="22" w:lineRule="exact"/>
        <w:rPr>
          <w:rFonts w:ascii="Arial" w:cs="Arial" w:eastAsia="Arial" w:hAnsi="Arial"/>
          <w:sz w:val="16"/>
          <w:szCs w:val="16"/>
          <w:color w:val="auto"/>
          <w:vertAlign w:val="superscript"/>
        </w:rPr>
      </w:pPr>
    </w:p>
    <w:p>
      <w:pPr>
        <w:ind w:left="120" w:hanging="112"/>
        <w:spacing w:after="0" w:line="229" w:lineRule="auto"/>
        <w:tabs>
          <w:tab w:leader="none" w:pos="120" w:val="left"/>
        </w:tabs>
        <w:numPr>
          <w:ilvl w:val="0"/>
          <w:numId w:val="6"/>
        </w:numPr>
        <w:rPr>
          <w:rFonts w:ascii="Arial" w:cs="Arial" w:eastAsia="Arial" w:hAnsi="Arial"/>
          <w:sz w:val="14"/>
          <w:szCs w:val="14"/>
          <w:color w:val="auto"/>
          <w:vertAlign w:val="superscript"/>
        </w:rPr>
      </w:pPr>
      <w:r>
        <w:rPr>
          <w:rFonts w:ascii="Arial" w:cs="Arial" w:eastAsia="Arial" w:hAnsi="Arial"/>
          <w:sz w:val="10"/>
          <w:szCs w:val="10"/>
          <w:color w:val="auto"/>
        </w:rPr>
        <w:t>Primarily includes taxes, interest expense, other non-operating costs, depreciation and amortization.</w:t>
      </w:r>
    </w:p>
    <w:p>
      <w:pPr>
        <w:spacing w:after="0" w:line="162" w:lineRule="exact"/>
        <w:rPr>
          <w:sz w:val="20"/>
          <w:szCs w:val="20"/>
          <w:color w:val="auto"/>
        </w:rPr>
      </w:pPr>
    </w:p>
    <w:p>
      <w:pPr>
        <w:ind w:right="280" w:firstLine="374"/>
        <w:spacing w:after="0" w:line="266" w:lineRule="auto"/>
        <w:rPr>
          <w:sz w:val="20"/>
          <w:szCs w:val="20"/>
          <w:color w:val="auto"/>
        </w:rPr>
      </w:pPr>
      <w:r>
        <w:rPr>
          <w:rFonts w:ascii="Arial" w:cs="Arial" w:eastAsia="Arial" w:hAnsi="Arial"/>
          <w:sz w:val="16"/>
          <w:szCs w:val="16"/>
          <w:b w:val="1"/>
          <w:bCs w:val="1"/>
          <w:i w:val="1"/>
          <w:iCs w:val="1"/>
          <w:color w:val="auto"/>
        </w:rPr>
        <w:t xml:space="preserve">Merger Agreement: </w:t>
      </w:r>
      <w:r>
        <w:rPr>
          <w:rFonts w:ascii="Arial" w:cs="Arial" w:eastAsia="Arial" w:hAnsi="Arial"/>
          <w:sz w:val="16"/>
          <w:szCs w:val="16"/>
          <w:color w:val="auto"/>
        </w:rPr>
        <w:t>On August 18, 2025, TEGNA Inc. (the Company) entered into an Agreement and Plan of Merger (the Merger Agreement),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Nexstar Media Group, Inc., a Delaware corporation (Nexstar) and Teton Merger Sub, Inc. (Merger Sub), a Delaware corporation and a wholly owned subsidiary of Nexstar.</w:t>
      </w:r>
    </w:p>
    <w:p>
      <w:pPr>
        <w:spacing w:after="0" w:line="144" w:lineRule="exact"/>
        <w:rPr>
          <w:sz w:val="20"/>
          <w:szCs w:val="20"/>
          <w:color w:val="auto"/>
        </w:rPr>
      </w:pPr>
    </w:p>
    <w:p>
      <w:pPr>
        <w:ind w:right="300" w:firstLine="374"/>
        <w:spacing w:after="0" w:line="256" w:lineRule="auto"/>
        <w:rPr>
          <w:sz w:val="20"/>
          <w:szCs w:val="20"/>
          <w:color w:val="auto"/>
        </w:rPr>
      </w:pPr>
      <w:r>
        <w:rPr>
          <w:rFonts w:ascii="Arial" w:cs="Arial" w:eastAsia="Arial" w:hAnsi="Arial"/>
          <w:sz w:val="16"/>
          <w:szCs w:val="16"/>
          <w:color w:val="auto"/>
        </w:rPr>
        <w:t>The Merger Agreement provides, among other things and subject to the terms and conditions set forth therein, that at closing of the transactions contemplated by the Merger Agreement, (i) Merger Sub will be merged with and into the Company (the Merger), with the Company continuing as the surviving corporation and as a wholly owned subsidiary of Nexstar, and (ii) each share of common stock, par value $1.00 per share, of the Company (the Common Stock) outstanding immediately prior to the effective time of the Merger (the Effective Time), other than certain excluded shares, will at the Effective Time automatically be converted into the right to receive $22.00 per share of Common Stock in cash, without interest.</w:t>
      </w:r>
    </w:p>
    <w:p>
      <w:pPr>
        <w:spacing w:after="0" w:line="153" w:lineRule="exact"/>
        <w:rPr>
          <w:sz w:val="20"/>
          <w:szCs w:val="20"/>
          <w:color w:val="auto"/>
        </w:rPr>
      </w:pPr>
    </w:p>
    <w:p>
      <w:pPr>
        <w:ind w:right="180" w:firstLine="374"/>
        <w:spacing w:after="0" w:line="259" w:lineRule="auto"/>
        <w:rPr>
          <w:sz w:val="20"/>
          <w:szCs w:val="20"/>
          <w:color w:val="auto"/>
        </w:rPr>
      </w:pPr>
      <w:r>
        <w:rPr>
          <w:rFonts w:ascii="Arial" w:cs="Arial" w:eastAsia="Arial" w:hAnsi="Arial"/>
          <w:sz w:val="16"/>
          <w:szCs w:val="16"/>
          <w:color w:val="auto"/>
        </w:rPr>
        <w:t>The Merger is subject to the approval of the Merger Agreement by the stockholders of TEGNA and the satisfaction of customary closing conditions, including receipt of applicable regulatory approvals, and is expected to close by the second half of 2026. On October 10, 2025, we filed a definitive proxy statement (the Proxy Statement) with the SEC with respect to a special meeting of TEGNA stockholders to be held on November 18, 2025 to consider and vote upon the Merger and related proposals.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0" w:name="page11"/>
    <w:bookmarkEnd w:id="10"/>
    <w:p>
      <w:pPr>
        <w:jc w:val="both"/>
        <w:ind w:right="200" w:firstLine="374"/>
        <w:spacing w:after="0" w:line="266" w:lineRule="auto"/>
        <w:rPr>
          <w:sz w:val="20"/>
          <w:szCs w:val="20"/>
          <w:color w:val="auto"/>
        </w:rPr>
      </w:pPr>
      <w:r>
        <w:rPr>
          <w:rFonts w:ascii="Arial" w:cs="Arial" w:eastAsia="Arial" w:hAnsi="Arial"/>
          <w:sz w:val="16"/>
          <w:szCs w:val="16"/>
          <w:color w:val="auto"/>
        </w:rPr>
        <w:t>The Merger Agreement contains certain termination rights for the parties and provides that, upon termination of the Merger Agreement under certain specified circumstances, TEGNA will be required to pay Nexstar a termination fee of $120.0 million, and other certain other circumstances, Nexstar will be required to pay TEGNA a termination fee of $125.0 million.</w:t>
      </w:r>
    </w:p>
    <w:p>
      <w:pPr>
        <w:spacing w:after="0" w:line="144" w:lineRule="exact"/>
        <w:rPr>
          <w:sz w:val="20"/>
          <w:szCs w:val="20"/>
          <w:color w:val="auto"/>
        </w:rPr>
      </w:pPr>
    </w:p>
    <w:p>
      <w:pPr>
        <w:ind w:right="100" w:firstLine="374"/>
        <w:spacing w:after="0" w:line="286" w:lineRule="auto"/>
        <w:rPr>
          <w:sz w:val="20"/>
          <w:szCs w:val="20"/>
          <w:color w:val="auto"/>
        </w:rPr>
      </w:pPr>
      <w:r>
        <w:rPr>
          <w:rFonts w:ascii="Arial" w:cs="Arial" w:eastAsia="Arial" w:hAnsi="Arial"/>
          <w:sz w:val="16"/>
          <w:szCs w:val="16"/>
          <w:color w:val="auto"/>
        </w:rPr>
        <w:t>TEGNA has made customary representations, warranties and covenants in the Merger Agreement. If the Merger is consummated, the Common Stock will be delisted from the New York Stock Exchange and deregistered under the Securities Exchange Act of 1934.</w:t>
      </w:r>
    </w:p>
    <w:p>
      <w:pPr>
        <w:spacing w:after="0" w:line="129" w:lineRule="exact"/>
        <w:rPr>
          <w:sz w:val="20"/>
          <w:szCs w:val="20"/>
          <w:color w:val="auto"/>
        </w:rPr>
      </w:pPr>
    </w:p>
    <w:p>
      <w:pPr>
        <w:ind w:right="180" w:firstLine="374"/>
        <w:spacing w:after="0" w:line="259" w:lineRule="auto"/>
        <w:rPr>
          <w:sz w:val="20"/>
          <w:szCs w:val="20"/>
          <w:color w:val="auto"/>
        </w:rPr>
      </w:pPr>
      <w:r>
        <w:rPr>
          <w:rFonts w:ascii="Arial" w:cs="Arial" w:eastAsia="Arial" w:hAnsi="Arial"/>
          <w:sz w:val="16"/>
          <w:szCs w:val="16"/>
          <w:b w:val="1"/>
          <w:bCs w:val="1"/>
          <w:i w:val="1"/>
          <w:iCs w:val="1"/>
          <w:color w:val="auto"/>
        </w:rPr>
        <w:t xml:space="preserve">Accounting guidance recently adopted: </w:t>
      </w:r>
      <w:r>
        <w:rPr>
          <w:rFonts w:ascii="Arial" w:cs="Arial" w:eastAsia="Arial" w:hAnsi="Arial"/>
          <w:sz w:val="16"/>
          <w:szCs w:val="16"/>
          <w:color w:val="auto"/>
        </w:rPr>
        <w:t>In November 2023, the Financial Accounting Standards Board (FASB) issued new guidance that changes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disclosures related to segment reporting. The guidance requires entities to disclose on a quarterly and annual basis the significant segment expense items that are regularly provided to the entity’s CODM. Entities are also required to disclose the title and position of their CODM. We adopted this new guidance on an annual basis in our 2024 Form 10-K and adopted the quarterly requirements of this guidance beginning in the first quarter of 2025.</w:t>
      </w:r>
    </w:p>
    <w:p>
      <w:pPr>
        <w:spacing w:after="0" w:line="151" w:lineRule="exact"/>
        <w:rPr>
          <w:sz w:val="20"/>
          <w:szCs w:val="20"/>
          <w:color w:val="auto"/>
        </w:rPr>
      </w:pPr>
    </w:p>
    <w:p>
      <w:pPr>
        <w:ind w:firstLine="374"/>
        <w:spacing w:after="0" w:line="253" w:lineRule="auto"/>
        <w:rPr>
          <w:sz w:val="20"/>
          <w:szCs w:val="20"/>
          <w:color w:val="auto"/>
        </w:rPr>
      </w:pPr>
      <w:r>
        <w:rPr>
          <w:rFonts w:ascii="Arial" w:cs="Arial" w:eastAsia="Arial" w:hAnsi="Arial"/>
          <w:sz w:val="16"/>
          <w:szCs w:val="16"/>
          <w:b w:val="1"/>
          <w:bCs w:val="1"/>
          <w:i w:val="1"/>
          <w:iCs w:val="1"/>
          <w:color w:val="auto"/>
        </w:rPr>
        <w:t xml:space="preserve">New accounting guidance not yet adopted: </w:t>
      </w:r>
      <w:r>
        <w:rPr>
          <w:rFonts w:ascii="Arial" w:cs="Arial" w:eastAsia="Arial" w:hAnsi="Arial"/>
          <w:sz w:val="16"/>
          <w:szCs w:val="16"/>
          <w:color w:val="auto"/>
        </w:rPr>
        <w:t>In December 2023, the FASB issued new guidance that changes certain disclosure requirements related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income taxes. The guidance requires entities to disclose additional quantitative and qualitative information about the reconciliation between their statutory and effective tax rates. Specifically, the guidance requires disaggregation of the reconciling items using standardized categories. This guidance also requires additional disclosure of income taxes paid to now include disaggregation on a federal, state and foreign basis and to specifically include the amount of income taxes paid to individual jurisdictions when they represent five percent or more of total income tax payments. The new guidance will be effective for us beginning with our 2025 annual reporting and may be applied on either a prospective or retrospective basis. We do not expect that this new guidance will have a material impact on our financial statements.</w:t>
      </w:r>
    </w:p>
    <w:p>
      <w:pPr>
        <w:spacing w:after="0" w:line="154" w:lineRule="exact"/>
        <w:rPr>
          <w:sz w:val="20"/>
          <w:szCs w:val="20"/>
          <w:color w:val="auto"/>
        </w:rPr>
      </w:pPr>
    </w:p>
    <w:p>
      <w:pPr>
        <w:ind w:right="80" w:firstLine="374"/>
        <w:spacing w:after="0" w:line="259" w:lineRule="auto"/>
        <w:rPr>
          <w:sz w:val="20"/>
          <w:szCs w:val="20"/>
          <w:color w:val="auto"/>
        </w:rPr>
      </w:pPr>
      <w:r>
        <w:rPr>
          <w:rFonts w:ascii="Arial" w:cs="Arial" w:eastAsia="Arial" w:hAnsi="Arial"/>
          <w:sz w:val="16"/>
          <w:szCs w:val="16"/>
          <w:color w:val="auto"/>
        </w:rPr>
        <w:t>In November 2024, the FASB issued new guidance related to expense disaggregation disclosures. This guidance requires additional disclosure of certain amounts included in the expense captions presented in the Statement of Income as well as disclosures about selling expenses. The new guidance will be effective for us beginning in 2027 on an annual basis and in the first quarter of 2028 on a quarterly basis, and may be applied on either a prospective or retrospective basis. Early adoption of the guidance is permitted. We are currently evaluating the effect this new guidance will have on our disclosures.</w:t>
      </w:r>
    </w:p>
    <w:p>
      <w:pPr>
        <w:spacing w:after="0" w:line="151" w:lineRule="exact"/>
        <w:rPr>
          <w:sz w:val="20"/>
          <w:szCs w:val="20"/>
          <w:color w:val="auto"/>
        </w:rPr>
      </w:pPr>
    </w:p>
    <w:p>
      <w:pPr>
        <w:ind w:firstLine="374"/>
        <w:spacing w:after="0" w:line="259" w:lineRule="auto"/>
        <w:rPr>
          <w:sz w:val="20"/>
          <w:szCs w:val="20"/>
          <w:color w:val="auto"/>
        </w:rPr>
      </w:pPr>
      <w:r>
        <w:rPr>
          <w:rFonts w:ascii="Arial" w:cs="Arial" w:eastAsia="Arial" w:hAnsi="Arial"/>
          <w:sz w:val="16"/>
          <w:szCs w:val="16"/>
          <w:color w:val="auto"/>
        </w:rPr>
        <w:t>In July 2025, the FASB issued new guidance related to estimating expected credit losses on accounts receivable and contract asset balances. This guidance allows all entities to elect to use a practical expedient whereby they can assume that current conditions as of the balance sheet date do not change for the remaining life of the account receivable or contract asset. The new guidance will be effective for us beginning in 2026 and must be adopted on a prospective basis. We are currently evaluating the impact of this new guidance.</w:t>
      </w:r>
    </w:p>
    <w:p>
      <w:pPr>
        <w:spacing w:after="0" w:line="151" w:lineRule="exact"/>
        <w:rPr>
          <w:sz w:val="20"/>
          <w:szCs w:val="20"/>
          <w:color w:val="auto"/>
        </w:rPr>
      </w:pPr>
    </w:p>
    <w:p>
      <w:pPr>
        <w:ind w:right="20" w:firstLine="374"/>
        <w:spacing w:after="0" w:line="256" w:lineRule="auto"/>
        <w:rPr>
          <w:sz w:val="20"/>
          <w:szCs w:val="20"/>
          <w:color w:val="auto"/>
        </w:rPr>
      </w:pPr>
      <w:r>
        <w:rPr>
          <w:rFonts w:ascii="Arial" w:cs="Arial" w:eastAsia="Arial" w:hAnsi="Arial"/>
          <w:sz w:val="16"/>
          <w:szCs w:val="16"/>
          <w:color w:val="auto"/>
        </w:rPr>
        <w:t>In September 2025, the FASB issued new guidance related to internal-use software. This guidance removes project stages as the deciding factor when determining when to capitalize internal-use software costs. Instead, it requires entities to begin capitalization of such costs when management has committed to funding the project and it is probable that the project will be completed and that the software will be used for its intended purpose. The new guidance will be effective for us beginning in 2028 and may be adopted on either a prospective, modified transition or retrospective basis. Early adoption of the guidance is permitted as of the beginning of a fiscal year. We are currently evaluating the impact of this new guidance.</w:t>
      </w:r>
    </w:p>
    <w:p>
      <w:pPr>
        <w:spacing w:after="0" w:line="153" w:lineRule="exact"/>
        <w:rPr>
          <w:sz w:val="20"/>
          <w:szCs w:val="20"/>
          <w:color w:val="auto"/>
        </w:rPr>
      </w:pPr>
    </w:p>
    <w:p>
      <w:pPr>
        <w:ind w:right="100" w:firstLine="374"/>
        <w:spacing w:after="0" w:line="254" w:lineRule="auto"/>
        <w:rPr>
          <w:sz w:val="20"/>
          <w:szCs w:val="20"/>
          <w:color w:val="auto"/>
        </w:rPr>
      </w:pPr>
      <w:r>
        <w:rPr>
          <w:rFonts w:ascii="Arial" w:cs="Arial" w:eastAsia="Arial" w:hAnsi="Arial"/>
          <w:sz w:val="16"/>
          <w:szCs w:val="16"/>
          <w:b w:val="1"/>
          <w:bCs w:val="1"/>
          <w:i w:val="1"/>
          <w:iCs w:val="1"/>
          <w:color w:val="auto"/>
        </w:rPr>
        <w:t xml:space="preserve">Trade receivables and allowances for doubtful accounts: </w:t>
      </w:r>
      <w:r>
        <w:rPr>
          <w:rFonts w:ascii="Arial" w:cs="Arial" w:eastAsia="Arial" w:hAnsi="Arial"/>
          <w:sz w:val="16"/>
          <w:szCs w:val="16"/>
          <w:color w:val="auto"/>
        </w:rPr>
        <w:t>Trade receivables are recorded at invoiced amounts and generally do not bear interest.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allowance for doubtful accounts reflects our estimate of credit exposure, determined principally on the basis of our collection experience, aging of our receivables and any specific reserves needed for certain customers based on their credit risk. Our allowance also takes into account expected future trends which may impact our customers’ ability to pay, such as economic growth (or declines), unemployment and demand for our products and services. We monitor the credit quality of our customers and their ability to pay through the use of analytics and communication with individual customers. As of September 30, 2025, our allowance for doubtful accounts was $4.5 million as compared to $2.8 million as of December 31, 2024.</w:t>
      </w:r>
    </w:p>
    <w:p>
      <w:pPr>
        <w:spacing w:after="0" w:line="155" w:lineRule="exact"/>
        <w:rPr>
          <w:sz w:val="20"/>
          <w:szCs w:val="20"/>
          <w:color w:val="auto"/>
        </w:rPr>
      </w:pPr>
    </w:p>
    <w:p>
      <w:pPr>
        <w:ind w:right="60" w:firstLine="374"/>
        <w:spacing w:after="0" w:line="254" w:lineRule="auto"/>
        <w:rPr>
          <w:sz w:val="20"/>
          <w:szCs w:val="20"/>
          <w:color w:val="auto"/>
        </w:rPr>
      </w:pPr>
      <w:r>
        <w:rPr>
          <w:rFonts w:ascii="Arial" w:cs="Arial" w:eastAsia="Arial" w:hAnsi="Arial"/>
          <w:sz w:val="16"/>
          <w:szCs w:val="16"/>
          <w:b w:val="1"/>
          <w:bCs w:val="1"/>
          <w:i w:val="1"/>
          <w:iCs w:val="1"/>
          <w:color w:val="auto"/>
        </w:rPr>
        <w:t xml:space="preserve">Redeemable Noncontrolling interest: </w:t>
      </w:r>
      <w:r>
        <w:rPr>
          <w:rFonts w:ascii="Arial" w:cs="Arial" w:eastAsia="Arial" w:hAnsi="Arial"/>
          <w:sz w:val="16"/>
          <w:szCs w:val="16"/>
          <w:color w:val="auto"/>
        </w:rPr>
        <w:t>Our Premion business operates an advertising network for over-the-top streaming and connected television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platforms. In March 2020, we sold a minority interest in Premion to an affiliate of Gray Television (Gray) and entered into a commercial reselling agreement with the affiliate. Because redemption of the minority ownership interest was outside our control, Gray’s equity interest was presented outside of the Equity section on the Condensed Consolidated Balance Sheets in the caption “Redeemable noncontrolling interest.” On April 1, 2025, Gray exercised its put right following the expiration of the commercial agreement. In connection with this, Premion redeemed Gray’s full interest in Premion for $20.8 million on April 30, 2025.</w:t>
      </w:r>
    </w:p>
    <w:p>
      <w:pPr>
        <w:spacing w:after="0" w:line="155" w:lineRule="exact"/>
        <w:rPr>
          <w:sz w:val="20"/>
          <w:szCs w:val="20"/>
          <w:color w:val="auto"/>
        </w:rPr>
      </w:pPr>
    </w:p>
    <w:p>
      <w:pPr>
        <w:ind w:right="60" w:firstLine="374"/>
        <w:spacing w:after="0" w:line="256" w:lineRule="auto"/>
        <w:rPr>
          <w:sz w:val="20"/>
          <w:szCs w:val="20"/>
          <w:color w:val="auto"/>
        </w:rPr>
      </w:pPr>
      <w:r>
        <w:rPr>
          <w:rFonts w:ascii="Arial" w:cs="Arial" w:eastAsia="Arial" w:hAnsi="Arial"/>
          <w:sz w:val="16"/>
          <w:szCs w:val="16"/>
          <w:b w:val="1"/>
          <w:bCs w:val="1"/>
          <w:i w:val="1"/>
          <w:iCs w:val="1"/>
          <w:color w:val="auto"/>
        </w:rPr>
        <w:t xml:space="preserve">Treasury Stock: </w:t>
      </w:r>
      <w:r>
        <w:rPr>
          <w:rFonts w:ascii="Arial" w:cs="Arial" w:eastAsia="Arial" w:hAnsi="Arial"/>
          <w:sz w:val="16"/>
          <w:szCs w:val="16"/>
          <w:color w:val="auto"/>
        </w:rPr>
        <w:t>We account for treasury stock under the cost method. When treasury stock is re-issued at a price higher than its cost, the difference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recorded as a component of additional paid-in-capital (APIC) in our Condensed Consolidated Balance Sheets. When treasury stock is re-issued at a price lower than its cost, the difference is recorded as a component of APIC to the extent that there are previously recorded gains to offset the losses. If there are no accumulated gains in APIC, the losses upon re-issuance of treasury stock are recorded as a reduction of retained earnings in our Condensed Consolidated Balance Sheets.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11" w:name="page12"/>
    <w:bookmarkEnd w:id="11"/>
    <w:p>
      <w:pPr>
        <w:ind w:right="320" w:firstLine="374"/>
        <w:spacing w:after="0" w:line="259"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Revenue is recognized upon the transfer of control of promised services to our customers in an amount that reflects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consideration we expect to receive in exchange for those services. Revenue is recognized net of any taxes collected from customers, which are subsequently remitted to governmental authorities. Amounts received from customers in advance of providing services to our customers are recorded as deferred revenue.</w:t>
      </w:r>
    </w:p>
    <w:p>
      <w:pPr>
        <w:spacing w:after="0" w:line="151" w:lineRule="exact"/>
        <w:rPr>
          <w:sz w:val="20"/>
          <w:szCs w:val="20"/>
          <w:color w:val="auto"/>
        </w:rPr>
      </w:pPr>
    </w:p>
    <w:p>
      <w:pPr>
        <w:ind w:right="20" w:firstLine="374"/>
        <w:spacing w:after="0" w:line="254" w:lineRule="auto"/>
        <w:rPr>
          <w:sz w:val="20"/>
          <w:szCs w:val="20"/>
          <w:color w:val="auto"/>
        </w:rPr>
      </w:pPr>
      <w:r>
        <w:rPr>
          <w:rFonts w:ascii="Arial" w:cs="Arial" w:eastAsia="Arial" w:hAnsi="Arial"/>
          <w:sz w:val="16"/>
          <w:szCs w:val="16"/>
          <w:color w:val="auto"/>
        </w:rPr>
        <w:t>The primary sources of our revenues are: 1) distribution revenue, reflecting fees paid by satellite, cable, streaming apps and telecommunications providers to carry our television signals on their platforms. Distribution revenue also includes amounts we earn from licensing content to other outside parties for redistribution; 2) advertising &amp; marketing services (AMS) revenues, which include local and national non-political television advertising, digital marketing services (including Premion), and advertising on the stations’ websites, tablet and mobile products and streaming apps; 3) political advertising revenues, which are driven by even-year election cycles at the local and national level (e.g. 2024, 2026, etc.) and particularly in the second half of those years; and 4) other services, such as production of programming and tower rentals.</w:t>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Revenue earned by these sources in the third quarter and first nine months of 2025 and 2024 are shown below (amounts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Quarter ended Sept. 30,</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Nine months ended Sept. 30,</w:t>
            </w:r>
          </w:p>
        </w:tc>
      </w:tr>
      <w:tr>
        <w:trPr>
          <w:trHeight w:val="183"/>
        </w:trPr>
        <w:tc>
          <w:tcPr>
            <w:tcW w:w="48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9"/>
              <w:spacing w:after="0" w:line="183" w:lineRule="exact"/>
              <w:rPr>
                <w:sz w:val="20"/>
                <w:szCs w:val="20"/>
                <w:color w:val="auto"/>
              </w:rPr>
            </w:pPr>
            <w:r>
              <w:rPr>
                <w:rFonts w:ascii="Arial" w:cs="Arial" w:eastAsia="Arial" w:hAnsi="Arial"/>
                <w:sz w:val="16"/>
                <w:szCs w:val="16"/>
                <w:b w:val="1"/>
                <w:bCs w:val="1"/>
                <w:color w:val="auto"/>
              </w:rPr>
              <w:t>2024</w:t>
            </w:r>
          </w:p>
        </w:tc>
      </w:tr>
      <w:tr>
        <w:trPr>
          <w:trHeight w:val="183"/>
        </w:trPr>
        <w:tc>
          <w:tcPr>
            <w:tcW w:w="4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9"/>
        </w:trPr>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Distribution</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358,451</w:t>
            </w:r>
          </w:p>
        </w:tc>
        <w:tc>
          <w:tcPr>
            <w:tcW w:w="42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361,585</w:t>
            </w:r>
          </w:p>
        </w:tc>
        <w:tc>
          <w:tcPr>
            <w:tcW w:w="38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1,107,584</w:t>
            </w:r>
          </w:p>
        </w:tc>
        <w:tc>
          <w:tcPr>
            <w:tcW w:w="44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1,113,292</w:t>
            </w:r>
          </w:p>
        </w:tc>
      </w:tr>
      <w:tr>
        <w:trPr>
          <w:trHeight w:val="189"/>
        </w:trPr>
        <w:tc>
          <w:tcPr>
            <w:tcW w:w="4860" w:type="dxa"/>
            <w:vAlign w:val="bottom"/>
          </w:tcPr>
          <w:p>
            <w:pPr>
              <w:spacing w:after="0"/>
              <w:rPr>
                <w:sz w:val="20"/>
                <w:szCs w:val="20"/>
                <w:color w:val="auto"/>
              </w:rPr>
            </w:pPr>
            <w:r>
              <w:rPr>
                <w:rFonts w:ascii="Arial" w:cs="Arial" w:eastAsia="Arial" w:hAnsi="Arial"/>
                <w:sz w:val="16"/>
                <w:szCs w:val="16"/>
                <w:color w:val="auto"/>
              </w:rPr>
              <w:t>Advertising &amp; Marketing Services</w:t>
            </w:r>
          </w:p>
        </w:tc>
        <w:tc>
          <w:tcPr>
            <w:tcW w:w="300" w:type="dxa"/>
            <w:vAlign w:val="bottom"/>
          </w:tcPr>
          <w:p>
            <w:pPr>
              <w:spacing w:after="0"/>
              <w:rPr>
                <w:sz w:val="16"/>
                <w:szCs w:val="16"/>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273,378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309,661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847,631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904,299</w:t>
            </w:r>
          </w:p>
        </w:tc>
      </w:tr>
      <w:tr>
        <w:trPr>
          <w:trHeight w:val="189"/>
        </w:trPr>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Political</w:t>
            </w:r>
          </w:p>
        </w:tc>
        <w:tc>
          <w:tcPr>
            <w:tcW w:w="30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9,881</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126,318</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21,689</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185,789</w:t>
            </w:r>
          </w:p>
        </w:tc>
      </w:tr>
      <w:tr>
        <w:trPr>
          <w:trHeight w:val="189"/>
        </w:trPr>
        <w:tc>
          <w:tcPr>
            <w:tcW w:w="4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9,081</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9,263</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28,981</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28,062</w:t>
            </w:r>
          </w:p>
        </w:tc>
      </w:tr>
      <w:tr>
        <w:trPr>
          <w:trHeight w:val="223"/>
        </w:trPr>
        <w:tc>
          <w:tcPr>
            <w:tcW w:w="486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auto"/>
            </w:tcBorders>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650,791</w:t>
            </w: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806,827</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2,005,885</w:t>
            </w: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2,231,442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-25400</wp:posOffset>
            </wp:positionV>
            <wp:extent cx="857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-7620</wp:posOffset>
            </wp:positionV>
            <wp:extent cx="857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857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857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-25400</wp:posOffset>
            </wp:positionV>
            <wp:extent cx="857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857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5" w:lineRule="exact"/>
        <w:rPr>
          <w:sz w:val="20"/>
          <w:szCs w:val="20"/>
          <w:color w:val="auto"/>
        </w:rPr>
      </w:pPr>
    </w:p>
    <w:p>
      <w:pPr>
        <w:ind w:right="220" w:firstLine="374"/>
        <w:spacing w:after="0" w:line="259" w:lineRule="auto"/>
        <w:rPr>
          <w:sz w:val="20"/>
          <w:szCs w:val="20"/>
          <w:color w:val="auto"/>
        </w:rPr>
      </w:pPr>
      <w:r>
        <w:rPr>
          <w:rFonts w:ascii="Arial" w:cs="Arial" w:eastAsia="Arial" w:hAnsi="Arial"/>
          <w:sz w:val="16"/>
          <w:szCs w:val="16"/>
          <w:color w:val="auto"/>
        </w:rPr>
        <w:t>Beginning in the first quarter of 2025, we renamed our subscription revenue to now be called distribution revenue and expanded it to include other distribution revenues formerly reported in Other revenues and AMS revenues. This new presentation results in the consolidated disclosure of the amounts we earn from all sources of content and programming distribution. We have recast the prior year amounts, which were immaterial, to conform to this new presentation.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Goodwill and other intangible assets</w:t>
      </w:r>
    </w:p>
    <w:p>
      <w:pPr>
        <w:spacing w:after="0" w:line="194" w:lineRule="exact"/>
        <w:rPr>
          <w:sz w:val="20"/>
          <w:szCs w:val="20"/>
          <w:color w:val="auto"/>
        </w:rPr>
      </w:pPr>
    </w:p>
    <w:p>
      <w:pPr>
        <w:ind w:right="80" w:firstLine="374"/>
        <w:spacing w:after="0" w:line="286" w:lineRule="auto"/>
        <w:rPr>
          <w:sz w:val="20"/>
          <w:szCs w:val="20"/>
          <w:color w:val="auto"/>
        </w:rPr>
      </w:pPr>
      <w:r>
        <w:rPr>
          <w:rFonts w:ascii="Arial" w:cs="Arial" w:eastAsia="Arial" w:hAnsi="Arial"/>
          <w:sz w:val="16"/>
          <w:szCs w:val="16"/>
          <w:color w:val="auto"/>
        </w:rPr>
        <w:t>The following table displays goodwill, indefinite-lived intangible assets, and amortizable intangible assets as of September 30, 2025 and December 31, 2024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1039"/>
              <w:spacing w:after="0"/>
              <w:rPr>
                <w:sz w:val="20"/>
                <w:szCs w:val="20"/>
                <w:color w:val="auto"/>
              </w:rPr>
            </w:pPr>
            <w:r>
              <w:rPr>
                <w:rFonts w:ascii="Arial" w:cs="Arial" w:eastAsia="Arial" w:hAnsi="Arial"/>
                <w:sz w:val="16"/>
                <w:szCs w:val="16"/>
                <w:b w:val="1"/>
                <w:bCs w:val="1"/>
                <w:color w:val="auto"/>
              </w:rPr>
              <w:t>Sept. 30, 2025</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1019"/>
              <w:spacing w:after="0"/>
              <w:rPr>
                <w:sz w:val="20"/>
                <w:szCs w:val="20"/>
                <w:color w:val="auto"/>
              </w:rPr>
            </w:pPr>
            <w:r>
              <w:rPr>
                <w:rFonts w:ascii="Arial" w:cs="Arial" w:eastAsia="Arial" w:hAnsi="Arial"/>
                <w:sz w:val="16"/>
                <w:szCs w:val="16"/>
                <w:b w:val="1"/>
                <w:bCs w:val="1"/>
                <w:color w:val="auto"/>
              </w:rPr>
              <w:t>Dec. 31, 2024</w:t>
            </w:r>
          </w:p>
        </w:tc>
      </w:tr>
      <w:tr>
        <w:trPr>
          <w:trHeight w:val="168"/>
        </w:trPr>
        <w:tc>
          <w:tcPr>
            <w:tcW w:w="4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right"/>
              <w:ind w:right="259"/>
              <w:spacing w:after="0" w:line="168" w:lineRule="exact"/>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219"/>
              <w:spacing w:after="0" w:line="168" w:lineRule="exact"/>
              <w:rPr>
                <w:sz w:val="20"/>
                <w:szCs w:val="20"/>
                <w:color w:val="auto"/>
              </w:rPr>
            </w:pPr>
            <w:r>
              <w:rPr>
                <w:rFonts w:ascii="Arial" w:cs="Arial" w:eastAsia="Arial" w:hAnsi="Arial"/>
                <w:sz w:val="16"/>
                <w:szCs w:val="16"/>
                <w:b w:val="1"/>
                <w:bCs w:val="1"/>
                <w:color w:val="auto"/>
              </w:rPr>
              <w:t>Accumulated</w:t>
            </w:r>
          </w:p>
        </w:tc>
      </w:tr>
      <w:tr>
        <w:trPr>
          <w:trHeight w:val="203"/>
        </w:trPr>
        <w:tc>
          <w:tcPr>
            <w:tcW w:w="47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Gross</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Amortization</w:t>
            </w:r>
          </w:p>
        </w:tc>
      </w:tr>
      <w:tr>
        <w:trPr>
          <w:trHeight w:val="183"/>
        </w:trPr>
        <w:tc>
          <w:tcPr>
            <w:tcW w:w="4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9"/>
        </w:trPr>
        <w:tc>
          <w:tcPr>
            <w:tcW w:w="478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3,015,944</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3,015,944</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4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4780" w:type="dxa"/>
            <w:vAlign w:val="bottom"/>
            <w:shd w:val="clear" w:color="auto" w:fill="CFF0FC"/>
          </w:tcPr>
          <w:p>
            <w:pPr>
              <w:spacing w:after="0"/>
              <w:rPr>
                <w:sz w:val="20"/>
                <w:szCs w:val="20"/>
                <w:color w:val="auto"/>
              </w:rPr>
            </w:pPr>
            <w:r>
              <w:rPr>
                <w:rFonts w:ascii="Arial" w:cs="Arial" w:eastAsia="Arial" w:hAnsi="Arial"/>
                <w:sz w:val="16"/>
                <w:szCs w:val="16"/>
                <w:color w:val="auto"/>
              </w:rPr>
              <w:t>Indefinite-lived intangibles:</w:t>
            </w:r>
          </w:p>
        </w:tc>
        <w:tc>
          <w:tcPr>
            <w:tcW w:w="28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r>
      <w:tr>
        <w:trPr>
          <w:trHeight w:val="189"/>
        </w:trPr>
        <w:tc>
          <w:tcPr>
            <w:tcW w:w="4780" w:type="dxa"/>
            <w:vAlign w:val="bottom"/>
          </w:tcPr>
          <w:p>
            <w:pPr>
              <w:ind w:left="100"/>
              <w:spacing w:after="0"/>
              <w:rPr>
                <w:sz w:val="20"/>
                <w:szCs w:val="20"/>
                <w:color w:val="auto"/>
              </w:rPr>
            </w:pPr>
            <w:r>
              <w:rPr>
                <w:rFonts w:ascii="Arial" w:cs="Arial" w:eastAsia="Arial" w:hAnsi="Arial"/>
                <w:sz w:val="16"/>
                <w:szCs w:val="16"/>
                <w:color w:val="auto"/>
              </w:rPr>
              <w:t>Television and radio station FCC broadcast licenses</w:t>
            </w:r>
          </w:p>
        </w:tc>
        <w:tc>
          <w:tcPr>
            <w:tcW w:w="280" w:type="dxa"/>
            <w:vAlign w:val="bottom"/>
          </w:tcPr>
          <w:p>
            <w:pPr>
              <w:spacing w:after="0"/>
              <w:rPr>
                <w:sz w:val="16"/>
                <w:szCs w:val="16"/>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2,124,106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2,124,731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4780" w:type="dxa"/>
            <w:vAlign w:val="bottom"/>
            <w:shd w:val="clear" w:color="auto" w:fill="CFF0FC"/>
          </w:tcPr>
          <w:p>
            <w:pPr>
              <w:spacing w:after="0"/>
              <w:rPr>
                <w:sz w:val="20"/>
                <w:szCs w:val="20"/>
                <w:color w:val="auto"/>
              </w:rPr>
            </w:pPr>
            <w:r>
              <w:rPr>
                <w:rFonts w:ascii="Arial" w:cs="Arial" w:eastAsia="Arial" w:hAnsi="Arial"/>
                <w:sz w:val="16"/>
                <w:szCs w:val="16"/>
                <w:color w:val="auto"/>
              </w:rPr>
              <w:t>Amortizable intangible assets:</w:t>
            </w:r>
          </w:p>
        </w:tc>
        <w:tc>
          <w:tcPr>
            <w:tcW w:w="28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r>
      <w:tr>
        <w:trPr>
          <w:trHeight w:val="189"/>
        </w:trPr>
        <w:tc>
          <w:tcPr>
            <w:tcW w:w="4780" w:type="dxa"/>
            <w:vAlign w:val="bottom"/>
          </w:tcPr>
          <w:p>
            <w:pPr>
              <w:ind w:left="100"/>
              <w:spacing w:after="0"/>
              <w:rPr>
                <w:sz w:val="20"/>
                <w:szCs w:val="20"/>
                <w:color w:val="auto"/>
              </w:rPr>
            </w:pPr>
            <w:r>
              <w:rPr>
                <w:rFonts w:ascii="Arial" w:cs="Arial" w:eastAsia="Arial" w:hAnsi="Arial"/>
                <w:sz w:val="16"/>
                <w:szCs w:val="16"/>
                <w:color w:val="auto"/>
              </w:rPr>
              <w:t>Network affiliation agreements</w:t>
            </w:r>
          </w:p>
        </w:tc>
        <w:tc>
          <w:tcPr>
            <w:tcW w:w="280" w:type="dxa"/>
            <w:vAlign w:val="bottom"/>
          </w:tcPr>
          <w:p>
            <w:pPr>
              <w:spacing w:after="0"/>
              <w:rPr>
                <w:sz w:val="16"/>
                <w:szCs w:val="16"/>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266,018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(138,071)</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266,018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(122,539)</w:t>
            </w:r>
          </w:p>
        </w:tc>
      </w:tr>
      <w:tr>
        <w:trPr>
          <w:trHeight w:val="189"/>
        </w:trPr>
        <w:tc>
          <w:tcPr>
            <w:tcW w:w="478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104,198</w:t>
            </w:r>
          </w:p>
        </w:tc>
        <w:tc>
          <w:tcPr>
            <w:tcW w:w="1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(73,620)</w:t>
            </w:r>
          </w:p>
        </w:tc>
        <w:tc>
          <w:tcPr>
            <w:tcW w:w="1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104,198</w:t>
            </w: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(62,636)</w:t>
            </w:r>
          </w:p>
        </w:tc>
      </w:tr>
      <w:tr>
        <w:trPr>
          <w:trHeight w:val="183"/>
        </w:trPr>
        <w:tc>
          <w:tcPr>
            <w:tcW w:w="4780" w:type="dxa"/>
            <w:vAlign w:val="bottom"/>
          </w:tcPr>
          <w:p>
            <w:pPr>
              <w:spacing w:after="0" w:line="183" w:lineRule="exact"/>
              <w:rPr>
                <w:sz w:val="20"/>
                <w:szCs w:val="20"/>
                <w:color w:val="auto"/>
              </w:rPr>
            </w:pPr>
            <w:r>
              <w:rPr>
                <w:rFonts w:ascii="Arial" w:cs="Arial" w:eastAsia="Arial" w:hAnsi="Arial"/>
                <w:sz w:val="16"/>
                <w:szCs w:val="16"/>
                <w:color w:val="auto"/>
              </w:rPr>
              <w:t>Total indefinite-lived and amortizable intangible assets</w:t>
            </w:r>
          </w:p>
        </w:tc>
        <w:tc>
          <w:tcPr>
            <w:tcW w:w="280" w:type="dxa"/>
            <w:vAlign w:val="bottom"/>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240" w:type="dxa"/>
            <w:vAlign w:val="bottom"/>
          </w:tcPr>
          <w:p>
            <w:pPr>
              <w:jc w:val="right"/>
              <w:ind w:right="59"/>
              <w:spacing w:after="0" w:line="183" w:lineRule="exact"/>
              <w:rPr>
                <w:sz w:val="20"/>
                <w:szCs w:val="20"/>
                <w:color w:val="auto"/>
              </w:rPr>
            </w:pPr>
            <w:r>
              <w:rPr>
                <w:rFonts w:ascii="Arial" w:cs="Arial" w:eastAsia="Arial" w:hAnsi="Arial"/>
                <w:sz w:val="16"/>
                <w:szCs w:val="16"/>
                <w:color w:val="auto"/>
              </w:rPr>
              <w:t>2,494,322</w:t>
            </w:r>
          </w:p>
        </w:tc>
        <w:tc>
          <w:tcPr>
            <w:tcW w:w="30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380" w:type="dxa"/>
            <w:vAlign w:val="bottom"/>
          </w:tcPr>
          <w:p>
            <w:pPr>
              <w:jc w:val="right"/>
              <w:spacing w:after="0" w:line="183" w:lineRule="exact"/>
              <w:rPr>
                <w:sz w:val="20"/>
                <w:szCs w:val="20"/>
                <w:color w:val="auto"/>
              </w:rPr>
            </w:pPr>
            <w:r>
              <w:rPr>
                <w:rFonts w:ascii="Arial" w:cs="Arial" w:eastAsia="Arial" w:hAnsi="Arial"/>
                <w:sz w:val="16"/>
                <w:szCs w:val="16"/>
                <w:color w:val="auto"/>
              </w:rPr>
              <w:t>(211,691)</w:t>
            </w:r>
          </w:p>
        </w:tc>
        <w:tc>
          <w:tcPr>
            <w:tcW w:w="42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2,494,947</w:t>
            </w:r>
          </w:p>
        </w:tc>
        <w:tc>
          <w:tcPr>
            <w:tcW w:w="2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(185,175)</w:t>
            </w:r>
          </w:p>
        </w:tc>
      </w:tr>
      <w:tr>
        <w:trPr>
          <w:trHeight w:val="20"/>
        </w:trPr>
        <w:tc>
          <w:tcPr>
            <w:tcW w:w="4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-153670</wp:posOffset>
            </wp:positionV>
            <wp:extent cx="1117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-153670</wp:posOffset>
            </wp:positionV>
            <wp:extent cx="1028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-153670</wp:posOffset>
            </wp:positionV>
            <wp:extent cx="1028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55" w:lineRule="exact"/>
        <w:rPr>
          <w:sz w:val="20"/>
          <w:szCs w:val="20"/>
          <w:color w:val="auto"/>
        </w:rPr>
      </w:pPr>
    </w:p>
    <w:p>
      <w:pPr>
        <w:ind w:right="60" w:firstLine="374"/>
        <w:spacing w:after="0" w:line="266" w:lineRule="auto"/>
        <w:rPr>
          <w:sz w:val="20"/>
          <w:szCs w:val="20"/>
          <w:color w:val="auto"/>
        </w:rPr>
      </w:pPr>
      <w:r>
        <w:rPr>
          <w:rFonts w:ascii="Arial" w:cs="Arial" w:eastAsia="Arial" w:hAnsi="Arial"/>
          <w:sz w:val="16"/>
          <w:szCs w:val="16"/>
          <w:color w:val="auto"/>
        </w:rPr>
        <w:t>Our network affiliation agreement assets are amortized on a straight-line basis over their estimated useful lives. Other intangible assets primarily include acquired technology from our 2024 acquisition of Octillion Media and distribution agreements from our multicast networks acquisition, which are also amortized on a straight-line basis over their useful lives.</w:t>
      </w:r>
    </w:p>
    <w:p>
      <w:pPr>
        <w:spacing w:after="0" w:line="144" w:lineRule="exact"/>
        <w:rPr>
          <w:sz w:val="20"/>
          <w:szCs w:val="20"/>
          <w:color w:val="auto"/>
        </w:rPr>
      </w:pPr>
    </w:p>
    <w:p>
      <w:pPr>
        <w:ind w:right="100" w:firstLine="374"/>
        <w:spacing w:after="0" w:line="259" w:lineRule="auto"/>
        <w:rPr>
          <w:sz w:val="20"/>
          <w:szCs w:val="20"/>
          <w:color w:val="auto"/>
        </w:rPr>
      </w:pPr>
      <w:r>
        <w:rPr>
          <w:rFonts w:ascii="Arial" w:cs="Arial" w:eastAsia="Arial" w:hAnsi="Arial"/>
          <w:sz w:val="16"/>
          <w:szCs w:val="16"/>
          <w:color w:val="auto"/>
        </w:rPr>
        <w:t>In the second quarter of 2025, we made a final earnout payment of $6.4 million to the previous owners of Octillion Media as a result of achievements related to the second and third earnout requirements under the purchase agreement signed by the parties. In the second quarter of 2025, we also paid $1.7 million of purchase price holdbacks that had been retained under the purchase agreement. There are no remaining earnouts or holdbacks related to the Octillion acquisition.</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NOTE 3 – Investments and other assets</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investments and other assets consisted of the following as of September 30, 2025 and December 31, 2024 (in thousands):</w:t>
      </w:r>
    </w:p>
    <w:p>
      <w:pPr>
        <w:sectPr>
          <w:pgSz w:w="11900" w:h="16838" w:orient="portrait"/>
          <w:cols w:equalWidth="0" w:num="1">
            <w:col w:w="11240"/>
          </w:cols>
          <w:pgMar w:left="320" w:top="935" w:right="339" w:bottom="1440" w:gutter="0" w:footer="0" w:header="0"/>
        </w:sectPr>
      </w:pP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Sept. 30, 2025</w:t>
            </w:r>
          </w:p>
        </w:tc>
      </w:tr>
      <w:tr>
        <w:trPr>
          <w:trHeight w:val="357"/>
        </w:trPr>
        <w:tc>
          <w:tcPr>
            <w:tcW w:w="4400" w:type="dxa"/>
            <w:vAlign w:val="bottom"/>
          </w:tcPr>
          <w:p>
            <w:pPr>
              <w:spacing w:after="0"/>
              <w:rPr>
                <w:sz w:val="20"/>
                <w:szCs w:val="20"/>
                <w:color w:val="auto"/>
              </w:rPr>
            </w:pPr>
            <w:r>
              <w:rPr>
                <w:rFonts w:ascii="Arial" w:cs="Arial" w:eastAsia="Arial" w:hAnsi="Arial"/>
                <w:sz w:val="16"/>
                <w:szCs w:val="16"/>
                <w:color w:val="auto"/>
              </w:rPr>
              <w:t>Cash value life insurance</w:t>
            </w:r>
          </w:p>
        </w:tc>
        <w:tc>
          <w:tcPr>
            <w:tcW w:w="2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52,794</w:t>
            </w:r>
          </w:p>
        </w:tc>
      </w:tr>
      <w:tr>
        <w:trPr>
          <w:trHeight w:val="189"/>
        </w:trPr>
        <w:tc>
          <w:tcPr>
            <w:tcW w:w="4400" w:type="dxa"/>
            <w:vAlign w:val="bottom"/>
          </w:tcPr>
          <w:p>
            <w:pPr>
              <w:spacing w:after="0"/>
              <w:rPr>
                <w:sz w:val="20"/>
                <w:szCs w:val="20"/>
                <w:color w:val="auto"/>
              </w:rPr>
            </w:pPr>
            <w:r>
              <w:rPr>
                <w:rFonts w:ascii="Arial" w:cs="Arial" w:eastAsia="Arial" w:hAnsi="Arial"/>
                <w:sz w:val="16"/>
                <w:szCs w:val="16"/>
                <w:color w:val="auto"/>
              </w:rPr>
              <w:t>Equity method investments</w:t>
            </w:r>
          </w:p>
        </w:tc>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16,018</w:t>
            </w:r>
          </w:p>
        </w:tc>
      </w:tr>
      <w:tr>
        <w:trPr>
          <w:trHeight w:val="189"/>
        </w:trPr>
        <w:tc>
          <w:tcPr>
            <w:tcW w:w="4400" w:type="dxa"/>
            <w:vAlign w:val="bottom"/>
          </w:tcPr>
          <w:p>
            <w:pPr>
              <w:spacing w:after="0"/>
              <w:rPr>
                <w:sz w:val="20"/>
                <w:szCs w:val="20"/>
                <w:color w:val="auto"/>
              </w:rPr>
            </w:pPr>
            <w:r>
              <w:rPr>
                <w:rFonts w:ascii="Arial" w:cs="Arial" w:eastAsia="Arial" w:hAnsi="Arial"/>
                <w:sz w:val="16"/>
                <w:szCs w:val="16"/>
                <w:color w:val="auto"/>
              </w:rPr>
              <w:t>Other equity investments</w:t>
            </w:r>
          </w:p>
        </w:tc>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27,980</w:t>
            </w:r>
          </w:p>
        </w:tc>
      </w:tr>
      <w:tr>
        <w:trPr>
          <w:trHeight w:val="189"/>
        </w:trPr>
        <w:tc>
          <w:tcPr>
            <w:tcW w:w="4400" w:type="dxa"/>
            <w:vAlign w:val="bottom"/>
          </w:tcPr>
          <w:p>
            <w:pPr>
              <w:spacing w:after="0"/>
              <w:rPr>
                <w:sz w:val="20"/>
                <w:szCs w:val="20"/>
                <w:color w:val="auto"/>
              </w:rPr>
            </w:pPr>
            <w:r>
              <w:rPr>
                <w:rFonts w:ascii="Arial" w:cs="Arial" w:eastAsia="Arial" w:hAnsi="Arial"/>
                <w:sz w:val="16"/>
                <w:szCs w:val="16"/>
                <w:color w:val="auto"/>
              </w:rPr>
              <w:t>Debt investment</w:t>
            </w:r>
          </w:p>
        </w:tc>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7,500</w:t>
            </w:r>
          </w:p>
        </w:tc>
      </w:tr>
      <w:tr>
        <w:trPr>
          <w:trHeight w:val="189"/>
        </w:trPr>
        <w:tc>
          <w:tcPr>
            <w:tcW w:w="4400" w:type="dxa"/>
            <w:vAlign w:val="bottom"/>
          </w:tcPr>
          <w:p>
            <w:pPr>
              <w:spacing w:after="0"/>
              <w:rPr>
                <w:sz w:val="20"/>
                <w:szCs w:val="20"/>
                <w:color w:val="auto"/>
              </w:rPr>
            </w:pPr>
            <w:r>
              <w:rPr>
                <w:rFonts w:ascii="Arial" w:cs="Arial" w:eastAsia="Arial" w:hAnsi="Arial"/>
                <w:sz w:val="16"/>
                <w:szCs w:val="16"/>
                <w:color w:val="auto"/>
              </w:rPr>
              <w:t>Deferred compensation assets</w:t>
            </w:r>
          </w:p>
        </w:tc>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5,879</w:t>
            </w:r>
          </w:p>
        </w:tc>
      </w:tr>
      <w:tr>
        <w:trPr>
          <w:trHeight w:val="189"/>
        </w:trPr>
        <w:tc>
          <w:tcPr>
            <w:tcW w:w="4400" w:type="dxa"/>
            <w:vAlign w:val="bottom"/>
          </w:tcPr>
          <w:p>
            <w:pPr>
              <w:spacing w:after="0"/>
              <w:rPr>
                <w:sz w:val="20"/>
                <w:szCs w:val="20"/>
                <w:color w:val="auto"/>
              </w:rPr>
            </w:pPr>
            <w:r>
              <w:rPr>
                <w:rFonts w:ascii="Arial" w:cs="Arial" w:eastAsia="Arial" w:hAnsi="Arial"/>
                <w:sz w:val="16"/>
                <w:szCs w:val="16"/>
                <w:color w:val="auto"/>
              </w:rPr>
              <w:t>Deferred financing costs</w:t>
            </w:r>
          </w:p>
        </w:tc>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5,009</w:t>
            </w:r>
          </w:p>
        </w:tc>
      </w:tr>
      <w:tr>
        <w:trPr>
          <w:trHeight w:val="189"/>
        </w:trPr>
        <w:tc>
          <w:tcPr>
            <w:tcW w:w="4400" w:type="dxa"/>
            <w:vAlign w:val="bottom"/>
          </w:tcPr>
          <w:p>
            <w:pPr>
              <w:spacing w:after="0"/>
              <w:rPr>
                <w:sz w:val="20"/>
                <w:szCs w:val="20"/>
                <w:color w:val="auto"/>
              </w:rPr>
            </w:pPr>
            <w:r>
              <w:rPr>
                <w:rFonts w:ascii="Arial" w:cs="Arial" w:eastAsia="Arial" w:hAnsi="Arial"/>
                <w:sz w:val="16"/>
                <w:szCs w:val="16"/>
                <w:color w:val="auto"/>
              </w:rPr>
              <w:t>Prepaid assets</w:t>
            </w:r>
          </w:p>
        </w:tc>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2,857</w:t>
            </w:r>
          </w:p>
        </w:tc>
      </w:tr>
      <w:tr>
        <w:trPr>
          <w:trHeight w:val="203"/>
        </w:trPr>
        <w:tc>
          <w:tcPr>
            <w:tcW w:w="4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long-term assets</w:t>
            </w:r>
          </w:p>
        </w:tc>
        <w:tc>
          <w:tcPr>
            <w:tcW w:w="2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8,171</w:t>
            </w:r>
          </w:p>
        </w:tc>
      </w:tr>
      <w:tr>
        <w:trPr>
          <w:trHeight w:val="182"/>
        </w:trPr>
        <w:tc>
          <w:tcPr>
            <w:tcW w:w="440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color w:val="auto"/>
              </w:rPr>
              <w:t>Total</w:t>
            </w:r>
          </w:p>
        </w:tc>
        <w:tc>
          <w:tcPr>
            <w:tcW w:w="2420" w:type="dxa"/>
            <w:vAlign w:val="bottom"/>
            <w:tcBorders>
              <w:bottom w:val="single" w:sz="8" w:color="auto"/>
            </w:tcBorders>
            <w:gridSpan w:val="2"/>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126,208</w:t>
            </w: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-1113790</wp:posOffset>
            </wp:positionV>
            <wp:extent cx="7132320" cy="1200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-873760</wp:posOffset>
            </wp:positionV>
            <wp:extent cx="7132320" cy="1200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1200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1200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Dec. 31, 2024</w:t>
            </w:r>
          </w:p>
        </w:tc>
      </w:tr>
      <w:tr>
        <w:trPr>
          <w:trHeight w:val="357"/>
        </w:trPr>
        <w:tc>
          <w:tcPr>
            <w:tcW w:w="380" w:type="dxa"/>
            <w:vAlign w:val="bottom"/>
            <w:gridSpan w:val="2"/>
          </w:tcPr>
          <w:p>
            <w:pPr>
              <w:jc w:val="right"/>
              <w:ind w:right="204"/>
              <w:spacing w:after="0"/>
              <w:rPr>
                <w:sz w:val="20"/>
                <w:szCs w:val="20"/>
                <w:color w:val="auto"/>
              </w:rPr>
            </w:pPr>
            <w:r>
              <w:rPr>
                <w:rFonts w:ascii="Arial" w:cs="Arial" w:eastAsia="Arial" w:hAnsi="Arial"/>
                <w:sz w:val="16"/>
                <w:szCs w:val="16"/>
                <w:color w:val="auto"/>
                <w:w w:val="89"/>
              </w:rPr>
              <w:t>$</w:t>
            </w:r>
          </w:p>
        </w:tc>
        <w:tc>
          <w:tcPr>
            <w:tcW w:w="2120" w:type="dxa"/>
            <w:vAlign w:val="bottom"/>
          </w:tcPr>
          <w:p>
            <w:pPr>
              <w:jc w:val="right"/>
              <w:ind w:right="59"/>
              <w:spacing w:after="0"/>
              <w:rPr>
                <w:sz w:val="20"/>
                <w:szCs w:val="20"/>
                <w:color w:val="auto"/>
              </w:rPr>
            </w:pPr>
            <w:r>
              <w:rPr>
                <w:rFonts w:ascii="Arial" w:cs="Arial" w:eastAsia="Arial" w:hAnsi="Arial"/>
                <w:sz w:val="16"/>
                <w:szCs w:val="16"/>
                <w:color w:val="auto"/>
              </w:rPr>
              <w:t>51,860</w:t>
            </w:r>
          </w:p>
        </w:tc>
      </w:tr>
      <w:tr>
        <w:trPr>
          <w:trHeight w:val="189"/>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20" w:type="dxa"/>
            <w:vAlign w:val="bottom"/>
          </w:tcPr>
          <w:p>
            <w:pPr>
              <w:jc w:val="right"/>
              <w:ind w:right="59"/>
              <w:spacing w:after="0"/>
              <w:rPr>
                <w:sz w:val="20"/>
                <w:szCs w:val="20"/>
                <w:color w:val="auto"/>
              </w:rPr>
            </w:pPr>
            <w:r>
              <w:rPr>
                <w:rFonts w:ascii="Arial" w:cs="Arial" w:eastAsia="Arial" w:hAnsi="Arial"/>
                <w:sz w:val="16"/>
                <w:szCs w:val="16"/>
                <w:color w:val="auto"/>
              </w:rPr>
              <w:t>16,280</w:t>
            </w:r>
          </w:p>
        </w:tc>
      </w:tr>
      <w:tr>
        <w:trPr>
          <w:trHeight w:val="189"/>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20" w:type="dxa"/>
            <w:vAlign w:val="bottom"/>
          </w:tcPr>
          <w:p>
            <w:pPr>
              <w:jc w:val="right"/>
              <w:ind w:right="59"/>
              <w:spacing w:after="0"/>
              <w:rPr>
                <w:sz w:val="20"/>
                <w:szCs w:val="20"/>
                <w:color w:val="auto"/>
              </w:rPr>
            </w:pPr>
            <w:r>
              <w:rPr>
                <w:rFonts w:ascii="Arial" w:cs="Arial" w:eastAsia="Arial" w:hAnsi="Arial"/>
                <w:sz w:val="16"/>
                <w:szCs w:val="16"/>
                <w:color w:val="auto"/>
              </w:rPr>
              <w:t>29,020</w:t>
            </w:r>
          </w:p>
        </w:tc>
      </w:tr>
      <w:tr>
        <w:trPr>
          <w:trHeight w:val="189"/>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20" w:type="dxa"/>
            <w:vAlign w:val="bottom"/>
          </w:tcPr>
          <w:p>
            <w:pPr>
              <w:jc w:val="right"/>
              <w:ind w:right="59"/>
              <w:spacing w:after="0"/>
              <w:rPr>
                <w:sz w:val="20"/>
                <w:szCs w:val="20"/>
                <w:color w:val="auto"/>
              </w:rPr>
            </w:pPr>
            <w:r>
              <w:rPr>
                <w:rFonts w:ascii="Arial" w:cs="Arial" w:eastAsia="Arial" w:hAnsi="Arial"/>
                <w:sz w:val="16"/>
                <w:szCs w:val="16"/>
                <w:color w:val="auto"/>
              </w:rPr>
              <w:t>7,500</w:t>
            </w:r>
          </w:p>
        </w:tc>
      </w:tr>
      <w:tr>
        <w:trPr>
          <w:trHeight w:val="189"/>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20" w:type="dxa"/>
            <w:vAlign w:val="bottom"/>
          </w:tcPr>
          <w:p>
            <w:pPr>
              <w:jc w:val="right"/>
              <w:ind w:right="59"/>
              <w:spacing w:after="0"/>
              <w:rPr>
                <w:sz w:val="20"/>
                <w:szCs w:val="20"/>
                <w:color w:val="auto"/>
              </w:rPr>
            </w:pPr>
            <w:r>
              <w:rPr>
                <w:rFonts w:ascii="Arial" w:cs="Arial" w:eastAsia="Arial" w:hAnsi="Arial"/>
                <w:sz w:val="16"/>
                <w:szCs w:val="16"/>
                <w:color w:val="auto"/>
              </w:rPr>
              <w:t>6,212</w:t>
            </w:r>
          </w:p>
        </w:tc>
      </w:tr>
      <w:tr>
        <w:trPr>
          <w:trHeight w:val="189"/>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20" w:type="dxa"/>
            <w:vAlign w:val="bottom"/>
          </w:tcPr>
          <w:p>
            <w:pPr>
              <w:jc w:val="right"/>
              <w:ind w:right="59"/>
              <w:spacing w:after="0"/>
              <w:rPr>
                <w:sz w:val="20"/>
                <w:szCs w:val="20"/>
                <w:color w:val="auto"/>
              </w:rPr>
            </w:pPr>
            <w:r>
              <w:rPr>
                <w:rFonts w:ascii="Arial" w:cs="Arial" w:eastAsia="Arial" w:hAnsi="Arial"/>
                <w:sz w:val="16"/>
                <w:szCs w:val="16"/>
                <w:color w:val="auto"/>
              </w:rPr>
              <w:t>6,137</w:t>
            </w:r>
          </w:p>
        </w:tc>
      </w:tr>
      <w:tr>
        <w:trPr>
          <w:trHeight w:val="189"/>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20" w:type="dxa"/>
            <w:vAlign w:val="bottom"/>
          </w:tcPr>
          <w:p>
            <w:pPr>
              <w:jc w:val="right"/>
              <w:ind w:right="59"/>
              <w:spacing w:after="0"/>
              <w:rPr>
                <w:sz w:val="20"/>
                <w:szCs w:val="20"/>
                <w:color w:val="auto"/>
              </w:rPr>
            </w:pPr>
            <w:r>
              <w:rPr>
                <w:rFonts w:ascii="Arial" w:cs="Arial" w:eastAsia="Arial" w:hAnsi="Arial"/>
                <w:sz w:val="16"/>
                <w:szCs w:val="16"/>
                <w:color w:val="auto"/>
              </w:rPr>
              <w:t>5,960</w:t>
            </w:r>
          </w:p>
        </w:tc>
      </w:tr>
      <w:tr>
        <w:trPr>
          <w:trHeight w:val="203"/>
        </w:trPr>
        <w:tc>
          <w:tcPr>
            <w:tcW w:w="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9,568</w:t>
            </w:r>
          </w:p>
        </w:tc>
      </w:tr>
      <w:tr>
        <w:trPr>
          <w:trHeight w:val="182"/>
        </w:trPr>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212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132,537</w:t>
            </w: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2">
            <w:col w:w="8520" w:space="220"/>
            <w:col w:w="2500"/>
          </w:cols>
          <w:pgMar w:left="320" w:top="935" w:right="339" w:bottom="1440" w:gutter="0" w:footer="0" w:header="0"/>
          <w:type w:val="continuous"/>
        </w:sectPr>
      </w:pPr>
    </w:p>
    <w:p>
      <w:pPr>
        <w:ind w:right="180" w:firstLine="374"/>
        <w:spacing w:after="0" w:line="259" w:lineRule="auto"/>
        <w:rPr>
          <w:sz w:val="20"/>
          <w:szCs w:val="20"/>
          <w:color w:val="auto"/>
        </w:rPr>
      </w:pPr>
      <w:r>
        <w:rPr>
          <w:rFonts w:ascii="Arial" w:cs="Arial" w:eastAsia="Arial" w:hAnsi="Arial"/>
          <w:sz w:val="16"/>
          <w:szCs w:val="16"/>
          <w:i w:val="1"/>
          <w:iCs w:val="1"/>
          <w:color w:val="auto"/>
        </w:rPr>
        <w:t xml:space="preserve">Cash value life insurance: </w:t>
      </w:r>
      <w:r>
        <w:rPr>
          <w:rFonts w:ascii="Arial" w:cs="Arial" w:eastAsia="Arial" w:hAnsi="Arial"/>
          <w:sz w:val="16"/>
          <w:szCs w:val="16"/>
          <w:color w:val="auto"/>
        </w:rPr>
        <w:t>We are the beneficiary of life insurance policies on the lives of certain employees/retirees, which are recorded at their cash</w:t>
      </w:r>
      <w:r>
        <w:rPr>
          <w:rFonts w:ascii="Arial" w:cs="Arial" w:eastAsia="Arial" w:hAnsi="Arial"/>
          <w:sz w:val="16"/>
          <w:szCs w:val="16"/>
          <w:i w:val="1"/>
          <w:iCs w:val="1"/>
          <w:color w:val="auto"/>
        </w:rPr>
        <w:t xml:space="preserve"> </w:t>
      </w:r>
      <w:r>
        <w:rPr>
          <w:rFonts w:ascii="Arial" w:cs="Arial" w:eastAsia="Arial" w:hAnsi="Arial"/>
          <w:sz w:val="16"/>
          <w:szCs w:val="16"/>
          <w:color w:val="auto"/>
        </w:rPr>
        <w:t>surrender value as determined by the insurance carrier. These policies are utilized as a partial funding source for deferred compensation and other non-qualified employee retirement plans. Gains and losses on these investments are included in “Other non-operating items, net” within our Consolidated Statements of Income and were not material for all periods presented.</w:t>
      </w:r>
    </w:p>
    <w:p>
      <w:pPr>
        <w:spacing w:after="0" w:line="151" w:lineRule="exact"/>
        <w:rPr>
          <w:sz w:val="20"/>
          <w:szCs w:val="20"/>
          <w:color w:val="auto"/>
        </w:rPr>
      </w:pPr>
    </w:p>
    <w:p>
      <w:pPr>
        <w:ind w:right="20" w:firstLine="374"/>
        <w:spacing w:after="0" w:line="286" w:lineRule="auto"/>
        <w:rPr>
          <w:sz w:val="20"/>
          <w:szCs w:val="20"/>
          <w:color w:val="auto"/>
        </w:rPr>
      </w:pPr>
      <w:r>
        <w:rPr>
          <w:rFonts w:ascii="Arial" w:cs="Arial" w:eastAsia="Arial" w:hAnsi="Arial"/>
          <w:sz w:val="16"/>
          <w:szCs w:val="16"/>
          <w:i w:val="1"/>
          <w:iCs w:val="1"/>
          <w:color w:val="auto"/>
        </w:rPr>
        <w:t xml:space="preserve">Equity method investments: </w:t>
      </w:r>
      <w:r>
        <w:rPr>
          <w:rFonts w:ascii="Arial" w:cs="Arial" w:eastAsia="Arial" w:hAnsi="Arial"/>
          <w:sz w:val="16"/>
          <w:szCs w:val="16"/>
          <w:color w:val="auto"/>
        </w:rPr>
        <w:t>These are investments in entities in which we have significant influence, but do not have a controlling financial interest. Our</w:t>
      </w:r>
      <w:r>
        <w:rPr>
          <w:rFonts w:ascii="Arial" w:cs="Arial" w:eastAsia="Arial" w:hAnsi="Arial"/>
          <w:sz w:val="16"/>
          <w:szCs w:val="16"/>
          <w:i w:val="1"/>
          <w:iCs w:val="1"/>
          <w:color w:val="auto"/>
        </w:rPr>
        <w:t xml:space="preserve"> </w:t>
      </w:r>
      <w:r>
        <w:rPr>
          <w:rFonts w:ascii="Arial" w:cs="Arial" w:eastAsia="Arial" w:hAnsi="Arial"/>
          <w:sz w:val="16"/>
          <w:szCs w:val="16"/>
          <w:color w:val="auto"/>
        </w:rPr>
        <w:t>share of net earnings and losses from these ventures is included in “Other non-operating items, net” in the Consolidated Statements of Income.</w:t>
      </w:r>
    </w:p>
    <w:p>
      <w:pPr>
        <w:spacing w:after="0" w:line="129" w:lineRule="exact"/>
        <w:rPr>
          <w:sz w:val="20"/>
          <w:szCs w:val="20"/>
          <w:color w:val="auto"/>
        </w:rPr>
      </w:pPr>
    </w:p>
    <w:p>
      <w:pPr>
        <w:ind w:right="260" w:firstLine="374"/>
        <w:spacing w:after="0" w:line="259" w:lineRule="auto"/>
        <w:rPr>
          <w:sz w:val="20"/>
          <w:szCs w:val="20"/>
          <w:color w:val="auto"/>
        </w:rPr>
      </w:pPr>
      <w:r>
        <w:rPr>
          <w:rFonts w:ascii="Arial" w:cs="Arial" w:eastAsia="Arial" w:hAnsi="Arial"/>
          <w:sz w:val="16"/>
          <w:szCs w:val="16"/>
          <w:i w:val="1"/>
          <w:iCs w:val="1"/>
          <w:color w:val="auto"/>
        </w:rPr>
        <w:t>Other equity investments</w:t>
      </w:r>
      <w:r>
        <w:rPr>
          <w:rFonts w:ascii="Arial" w:cs="Arial" w:eastAsia="Arial" w:hAnsi="Arial"/>
          <w:sz w:val="16"/>
          <w:szCs w:val="16"/>
          <w:color w:val="auto"/>
        </w:rPr>
        <w:t>: Represents investments in non-public businesses that do not have readily determinable pricing, and for which we do not</w:t>
      </w:r>
      <w:r>
        <w:rPr>
          <w:rFonts w:ascii="Arial" w:cs="Arial" w:eastAsia="Arial" w:hAnsi="Arial"/>
          <w:sz w:val="16"/>
          <w:szCs w:val="16"/>
          <w:i w:val="1"/>
          <w:iCs w:val="1"/>
          <w:color w:val="auto"/>
        </w:rPr>
        <w:t xml:space="preserve"> </w:t>
      </w:r>
      <w:r>
        <w:rPr>
          <w:rFonts w:ascii="Arial" w:cs="Arial" w:eastAsia="Arial" w:hAnsi="Arial"/>
          <w:sz w:val="16"/>
          <w:szCs w:val="16"/>
          <w:color w:val="auto"/>
        </w:rPr>
        <w:t>have control and do not exert significant influence. These investments are either recorded at cost less impairments, if any, plus or minus changes in observable prices for those investments or fair value using the net asset value per share practical expedient. In the third quarter of 2025, we recognized a $2.1 million impairment charge related to one of these investments.</w:t>
      </w:r>
    </w:p>
    <w:p>
      <w:pPr>
        <w:spacing w:after="0" w:line="151"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 xml:space="preserve">Debt Investment: </w:t>
      </w:r>
      <w:r>
        <w:rPr>
          <w:rFonts w:ascii="Arial" w:cs="Arial" w:eastAsia="Arial" w:hAnsi="Arial"/>
          <w:sz w:val="16"/>
          <w:szCs w:val="16"/>
          <w:color w:val="auto"/>
        </w:rPr>
        <w:t>Represents an investment in the debt of a private company.</w:t>
      </w:r>
    </w:p>
    <w:p>
      <w:pPr>
        <w:spacing w:after="0" w:line="194" w:lineRule="exact"/>
        <w:rPr>
          <w:sz w:val="20"/>
          <w:szCs w:val="20"/>
          <w:color w:val="auto"/>
        </w:rPr>
      </w:pPr>
    </w:p>
    <w:p>
      <w:pPr>
        <w:ind w:right="300" w:firstLine="374"/>
        <w:spacing w:after="0" w:line="286" w:lineRule="auto"/>
        <w:rPr>
          <w:sz w:val="20"/>
          <w:szCs w:val="20"/>
          <w:color w:val="auto"/>
        </w:rPr>
      </w:pPr>
      <w:r>
        <w:rPr>
          <w:rFonts w:ascii="Arial" w:cs="Arial" w:eastAsia="Arial" w:hAnsi="Arial"/>
          <w:sz w:val="16"/>
          <w:szCs w:val="16"/>
          <w:i w:val="1"/>
          <w:iCs w:val="1"/>
          <w:color w:val="auto"/>
        </w:rPr>
        <w:t xml:space="preserve">Deferred compensation assets: </w:t>
      </w:r>
      <w:r>
        <w:rPr>
          <w:rFonts w:ascii="Arial" w:cs="Arial" w:eastAsia="Arial" w:hAnsi="Arial"/>
          <w:sz w:val="16"/>
          <w:szCs w:val="16"/>
          <w:color w:val="auto"/>
        </w:rPr>
        <w:t>Consist primarily of investments held in a trust established to fund obligations under TEGNA’s nonqualified deferred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plan.</w:t>
      </w:r>
    </w:p>
    <w:p>
      <w:pPr>
        <w:spacing w:after="0" w:line="129" w:lineRule="exact"/>
        <w:rPr>
          <w:sz w:val="20"/>
          <w:szCs w:val="20"/>
          <w:color w:val="auto"/>
        </w:rPr>
      </w:pPr>
    </w:p>
    <w:p>
      <w:pPr>
        <w:ind w:right="140" w:firstLine="374"/>
        <w:spacing w:after="0" w:line="286" w:lineRule="auto"/>
        <w:rPr>
          <w:sz w:val="20"/>
          <w:szCs w:val="20"/>
          <w:color w:val="auto"/>
        </w:rPr>
      </w:pPr>
      <w:r>
        <w:rPr>
          <w:rFonts w:ascii="Arial" w:cs="Arial" w:eastAsia="Arial" w:hAnsi="Arial"/>
          <w:sz w:val="16"/>
          <w:szCs w:val="16"/>
          <w:i w:val="1"/>
          <w:iCs w:val="1"/>
          <w:color w:val="auto"/>
        </w:rPr>
        <w:t>Deferred financing costs</w:t>
      </w:r>
      <w:r>
        <w:rPr>
          <w:rFonts w:ascii="Arial" w:cs="Arial" w:eastAsia="Arial" w:hAnsi="Arial"/>
          <w:sz w:val="16"/>
          <w:szCs w:val="16"/>
          <w:color w:val="auto"/>
        </w:rPr>
        <w:t>: These costs consist of amounts paid to lenders related to our revolving credit facility. Financing costs paid for our unsecured</w:t>
      </w:r>
      <w:r>
        <w:rPr>
          <w:rFonts w:ascii="Arial" w:cs="Arial" w:eastAsia="Arial" w:hAnsi="Arial"/>
          <w:sz w:val="16"/>
          <w:szCs w:val="16"/>
          <w:i w:val="1"/>
          <w:iCs w:val="1"/>
          <w:color w:val="auto"/>
        </w:rPr>
        <w:t xml:space="preserve"> </w:t>
      </w:r>
      <w:r>
        <w:rPr>
          <w:rFonts w:ascii="Arial" w:cs="Arial" w:eastAsia="Arial" w:hAnsi="Arial"/>
          <w:sz w:val="16"/>
          <w:szCs w:val="16"/>
          <w:color w:val="auto"/>
        </w:rPr>
        <w:t>notes are accounted for as a reduction in the debt obligation.</w:t>
      </w:r>
    </w:p>
    <w:p>
      <w:pPr>
        <w:sectPr>
          <w:pgSz w:w="11900" w:h="16838" w:orient="portrait"/>
          <w:cols w:equalWidth="0" w:num="1">
            <w:col w:w="11240"/>
          </w:cols>
          <w:pgMar w:left="320" w:top="935" w:right="339" w:bottom="1440" w:gutter="0" w:footer="0" w:header="0"/>
          <w:type w:val="continuous"/>
        </w:sectPr>
      </w:pPr>
    </w:p>
    <w:p>
      <w:pPr>
        <w:spacing w:after="0" w:line="129"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 xml:space="preserve">Prepaid assets: </w:t>
      </w:r>
      <w:r>
        <w:rPr>
          <w:rFonts w:ascii="Arial" w:cs="Arial" w:eastAsia="Arial" w:hAnsi="Arial"/>
          <w:sz w:val="16"/>
          <w:szCs w:val="16"/>
          <w:color w:val="auto"/>
        </w:rPr>
        <w:t>These amounts primarily consist of an asset related to a long-term services agreement for IT security.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00" w:type="dxa"/>
            <w:vAlign w:val="bottom"/>
          </w:tcPr>
          <w:p>
            <w:pPr>
              <w:spacing w:after="0"/>
              <w:rPr>
                <w:sz w:val="20"/>
                <w:szCs w:val="20"/>
                <w:color w:val="auto"/>
              </w:rPr>
            </w:pPr>
            <w:r>
              <w:rPr>
                <w:rFonts w:ascii="Arial" w:cs="Arial" w:eastAsia="Arial" w:hAnsi="Arial"/>
                <w:sz w:val="16"/>
                <w:szCs w:val="16"/>
                <w:b w:val="1"/>
                <w:bCs w:val="1"/>
                <w:color w:val="auto"/>
              </w:rPr>
              <w:t>NOTE 4 – Long-term debt</w:t>
            </w: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343"/>
        </w:trPr>
        <w:tc>
          <w:tcPr>
            <w:tcW w:w="6500" w:type="dxa"/>
            <w:vAlign w:val="bottom"/>
          </w:tcPr>
          <w:p>
            <w:pPr>
              <w:ind w:left="380"/>
              <w:spacing w:after="0"/>
              <w:rPr>
                <w:sz w:val="20"/>
                <w:szCs w:val="20"/>
                <w:color w:val="auto"/>
              </w:rPr>
            </w:pPr>
            <w:r>
              <w:rPr>
                <w:rFonts w:ascii="Arial" w:cs="Arial" w:eastAsia="Arial" w:hAnsi="Arial"/>
                <w:sz w:val="16"/>
                <w:szCs w:val="16"/>
                <w:color w:val="auto"/>
              </w:rPr>
              <w:t>Our long-term debt is summarized below (in thousands):</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67"/>
        </w:trPr>
        <w:tc>
          <w:tcPr>
            <w:tcW w:w="6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Sept. 30, 2025</w:t>
            </w:r>
          </w:p>
        </w:tc>
      </w:tr>
      <w:tr>
        <w:trPr>
          <w:trHeight w:val="357"/>
        </w:trPr>
        <w:tc>
          <w:tcPr>
            <w:tcW w:w="6500" w:type="dxa"/>
            <w:vAlign w:val="bottom"/>
          </w:tcPr>
          <w:p>
            <w:pPr>
              <w:spacing w:after="0"/>
              <w:rPr>
                <w:sz w:val="20"/>
                <w:szCs w:val="20"/>
                <w:color w:val="auto"/>
              </w:rPr>
            </w:pPr>
            <w:r>
              <w:rPr>
                <w:rFonts w:ascii="Arial" w:cs="Arial" w:eastAsia="Arial" w:hAnsi="Arial"/>
                <w:sz w:val="16"/>
                <w:szCs w:val="16"/>
                <w:color w:val="auto"/>
              </w:rPr>
              <w:t>Unsecured notes bearing fixed rate interest at 4.75% due March 2026</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189"/>
        </w:trPr>
        <w:tc>
          <w:tcPr>
            <w:tcW w:w="6500" w:type="dxa"/>
            <w:vAlign w:val="bottom"/>
          </w:tcPr>
          <w:p>
            <w:pPr>
              <w:spacing w:after="0"/>
              <w:rPr>
                <w:sz w:val="20"/>
                <w:szCs w:val="20"/>
                <w:color w:val="auto"/>
              </w:rPr>
            </w:pPr>
            <w:r>
              <w:rPr>
                <w:rFonts w:ascii="Arial" w:cs="Arial" w:eastAsia="Arial" w:hAnsi="Arial"/>
                <w:sz w:val="16"/>
                <w:szCs w:val="16"/>
                <w:color w:val="auto"/>
              </w:rPr>
              <w:t>Unsecured notes bearing fixed rate interest at 7.75% due June 2027</w:t>
            </w: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200,000</w:t>
            </w:r>
          </w:p>
        </w:tc>
      </w:tr>
      <w:tr>
        <w:trPr>
          <w:trHeight w:val="189"/>
        </w:trPr>
        <w:tc>
          <w:tcPr>
            <w:tcW w:w="6500" w:type="dxa"/>
            <w:vAlign w:val="bottom"/>
          </w:tcPr>
          <w:p>
            <w:pPr>
              <w:spacing w:after="0"/>
              <w:rPr>
                <w:sz w:val="20"/>
                <w:szCs w:val="20"/>
                <w:color w:val="auto"/>
              </w:rPr>
            </w:pPr>
            <w:r>
              <w:rPr>
                <w:rFonts w:ascii="Arial" w:cs="Arial" w:eastAsia="Arial" w:hAnsi="Arial"/>
                <w:sz w:val="16"/>
                <w:szCs w:val="16"/>
                <w:color w:val="auto"/>
              </w:rPr>
              <w:t>Unsecured notes bearing fixed rate interest at 7.25% due September 2027</w:t>
            </w: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240,000</w:t>
            </w:r>
          </w:p>
        </w:tc>
      </w:tr>
      <w:tr>
        <w:trPr>
          <w:trHeight w:val="189"/>
        </w:trPr>
        <w:tc>
          <w:tcPr>
            <w:tcW w:w="6500" w:type="dxa"/>
            <w:vAlign w:val="bottom"/>
          </w:tcPr>
          <w:p>
            <w:pPr>
              <w:spacing w:after="0"/>
              <w:rPr>
                <w:sz w:val="20"/>
                <w:szCs w:val="20"/>
                <w:color w:val="auto"/>
              </w:rPr>
            </w:pPr>
            <w:r>
              <w:rPr>
                <w:rFonts w:ascii="Arial" w:cs="Arial" w:eastAsia="Arial" w:hAnsi="Arial"/>
                <w:sz w:val="16"/>
                <w:szCs w:val="16"/>
                <w:color w:val="auto"/>
              </w:rPr>
              <w:t>Unsecured notes bearing fixed rate interest at 4.625% due March 2028</w:t>
            </w: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1,000,000</w:t>
            </w:r>
          </w:p>
        </w:tc>
      </w:tr>
      <w:tr>
        <w:trPr>
          <w:trHeight w:val="203"/>
        </w:trPr>
        <w:tc>
          <w:tcPr>
            <w:tcW w:w="6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Unsecured notes bearing fixed rate interest at 5.00% due September 2029</w:t>
            </w:r>
          </w:p>
        </w:tc>
        <w:tc>
          <w:tcPr>
            <w:tcW w:w="1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1,100,000</w:t>
            </w:r>
          </w:p>
        </w:tc>
      </w:tr>
      <w:tr>
        <w:trPr>
          <w:trHeight w:val="168"/>
        </w:trPr>
        <w:tc>
          <w:tcPr>
            <w:tcW w:w="6500" w:type="dxa"/>
            <w:vAlign w:val="bottom"/>
          </w:tcPr>
          <w:p>
            <w:pPr>
              <w:spacing w:after="0" w:line="168" w:lineRule="exact"/>
              <w:rPr>
                <w:sz w:val="20"/>
                <w:szCs w:val="20"/>
                <w:color w:val="auto"/>
              </w:rPr>
            </w:pPr>
            <w:r>
              <w:rPr>
                <w:rFonts w:ascii="Arial" w:cs="Arial" w:eastAsia="Arial" w:hAnsi="Arial"/>
                <w:sz w:val="16"/>
                <w:szCs w:val="16"/>
                <w:color w:val="auto"/>
              </w:rPr>
              <w:t>Total outstanding principal</w:t>
            </w: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59"/>
              <w:spacing w:after="0" w:line="168" w:lineRule="exact"/>
              <w:rPr>
                <w:sz w:val="20"/>
                <w:szCs w:val="20"/>
                <w:color w:val="auto"/>
              </w:rPr>
            </w:pPr>
            <w:r>
              <w:rPr>
                <w:rFonts w:ascii="Arial" w:cs="Arial" w:eastAsia="Arial" w:hAnsi="Arial"/>
                <w:sz w:val="16"/>
                <w:szCs w:val="16"/>
                <w:color w:val="auto"/>
              </w:rPr>
              <w:t>2,540,000</w:t>
            </w:r>
          </w:p>
        </w:tc>
      </w:tr>
      <w:tr>
        <w:trPr>
          <w:trHeight w:val="189"/>
        </w:trPr>
        <w:tc>
          <w:tcPr>
            <w:tcW w:w="6500" w:type="dxa"/>
            <w:vAlign w:val="bottom"/>
          </w:tcPr>
          <w:p>
            <w:pPr>
              <w:spacing w:after="0"/>
              <w:rPr>
                <w:sz w:val="20"/>
                <w:szCs w:val="20"/>
                <w:color w:val="auto"/>
              </w:rPr>
            </w:pPr>
            <w:r>
              <w:rPr>
                <w:rFonts w:ascii="Arial" w:cs="Arial" w:eastAsia="Arial" w:hAnsi="Arial"/>
                <w:sz w:val="16"/>
                <w:szCs w:val="16"/>
                <w:color w:val="auto"/>
              </w:rPr>
              <w:t>Debt issuance costs</w:t>
            </w: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(12,698)</w:t>
            </w:r>
          </w:p>
        </w:tc>
      </w:tr>
      <w:tr>
        <w:trPr>
          <w:trHeight w:val="203"/>
        </w:trPr>
        <w:tc>
          <w:tcPr>
            <w:tcW w:w="6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Unamortized discounts</w:t>
            </w:r>
          </w:p>
        </w:tc>
        <w:tc>
          <w:tcPr>
            <w:tcW w:w="1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2,713</w:t>
            </w:r>
          </w:p>
        </w:tc>
      </w:tr>
      <w:tr>
        <w:trPr>
          <w:trHeight w:val="183"/>
        </w:trPr>
        <w:tc>
          <w:tcPr>
            <w:tcW w:w="65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long-term debt, net</w:t>
            </w:r>
          </w:p>
        </w:tc>
        <w:tc>
          <w:tcPr>
            <w:tcW w:w="1320" w:type="dxa"/>
            <w:vAlign w:val="bottom"/>
            <w:tcBorders>
              <w:bottom w:val="single" w:sz="8" w:color="auto"/>
            </w:tcBorders>
            <w:gridSpan w:val="2"/>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2,530,015</w:t>
            </w:r>
          </w:p>
        </w:tc>
      </w:tr>
      <w:tr>
        <w:trPr>
          <w:trHeight w:val="20"/>
        </w:trPr>
        <w:tc>
          <w:tcPr>
            <w:tcW w:w="6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-1122045</wp:posOffset>
            </wp:positionV>
            <wp:extent cx="7132320" cy="1200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-882015</wp:posOffset>
            </wp:positionV>
            <wp:extent cx="7132320" cy="1200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1200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-642620</wp:posOffset>
            </wp:positionV>
            <wp:extent cx="7132320" cy="1289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68"/>
        <w:spacing w:after="0"/>
        <w:rPr>
          <w:sz w:val="20"/>
          <w:szCs w:val="20"/>
          <w:color w:val="auto"/>
        </w:rPr>
      </w:pPr>
      <w:r>
        <w:rPr>
          <w:rFonts w:ascii="Arial" w:cs="Arial" w:eastAsia="Arial" w:hAnsi="Arial"/>
          <w:sz w:val="16"/>
          <w:szCs w:val="16"/>
          <w:b w:val="1"/>
          <w:bCs w:val="1"/>
          <w:color w:val="auto"/>
        </w:rPr>
        <w:t>Dec.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10718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188" w:lineRule="exact"/>
        <w:rPr>
          <w:sz w:val="20"/>
          <w:szCs w:val="20"/>
          <w:color w:val="auto"/>
        </w:rPr>
      </w:pPr>
    </w:p>
    <w:p>
      <w:pPr>
        <w:ind w:left="988" w:hanging="988"/>
        <w:spacing w:after="0"/>
        <w:tabs>
          <w:tab w:leader="none" w:pos="988" w:val="left"/>
        </w:tabs>
        <w:numPr>
          <w:ilvl w:val="0"/>
          <w:numId w:val="7"/>
        </w:numPr>
        <w:rPr>
          <w:rFonts w:ascii="Arial" w:cs="Arial" w:eastAsia="Arial" w:hAnsi="Arial"/>
          <w:sz w:val="16"/>
          <w:szCs w:val="16"/>
          <w:color w:val="auto"/>
        </w:rPr>
      </w:pPr>
      <w:r>
        <w:rPr>
          <w:rFonts w:ascii="Arial" w:cs="Arial" w:eastAsia="Arial" w:hAnsi="Arial"/>
          <w:sz w:val="16"/>
          <w:szCs w:val="16"/>
          <w:color w:val="auto"/>
        </w:rPr>
        <w:t>550,000</w:t>
      </w:r>
    </w:p>
    <w:p>
      <w:pPr>
        <w:spacing w:after="0" w:line="21" w:lineRule="exact"/>
        <w:rPr>
          <w:rFonts w:ascii="Arial" w:cs="Arial" w:eastAsia="Arial" w:hAnsi="Arial"/>
          <w:sz w:val="16"/>
          <w:szCs w:val="16"/>
          <w:color w:val="auto"/>
        </w:rPr>
      </w:pPr>
    </w:p>
    <w:p>
      <w:pPr>
        <w:ind w:left="988"/>
        <w:spacing w:after="0"/>
        <w:rPr>
          <w:rFonts w:ascii="Arial" w:cs="Arial" w:eastAsia="Arial" w:hAnsi="Arial"/>
          <w:sz w:val="16"/>
          <w:szCs w:val="16"/>
          <w:color w:val="auto"/>
        </w:rPr>
      </w:pPr>
      <w:r>
        <w:rPr>
          <w:rFonts w:ascii="Arial" w:cs="Arial" w:eastAsia="Arial" w:hAnsi="Arial"/>
          <w:sz w:val="16"/>
          <w:szCs w:val="16"/>
          <w:color w:val="auto"/>
        </w:rPr>
        <w:t>200,000</w:t>
      </w:r>
    </w:p>
    <w:p>
      <w:pPr>
        <w:spacing w:after="0" w:line="5" w:lineRule="exact"/>
        <w:rPr>
          <w:rFonts w:ascii="Arial" w:cs="Arial" w:eastAsia="Arial" w:hAnsi="Arial"/>
          <w:sz w:val="16"/>
          <w:szCs w:val="16"/>
          <w:color w:val="auto"/>
        </w:rPr>
      </w:pPr>
    </w:p>
    <w:p>
      <w:pPr>
        <w:ind w:left="988"/>
        <w:spacing w:after="0"/>
        <w:rPr>
          <w:rFonts w:ascii="Arial" w:cs="Arial" w:eastAsia="Arial" w:hAnsi="Arial"/>
          <w:sz w:val="16"/>
          <w:szCs w:val="16"/>
          <w:color w:val="auto"/>
        </w:rPr>
      </w:pPr>
      <w:r>
        <w:rPr>
          <w:rFonts w:ascii="Arial" w:cs="Arial" w:eastAsia="Arial" w:hAnsi="Arial"/>
          <w:sz w:val="16"/>
          <w:szCs w:val="16"/>
          <w:color w:val="auto"/>
        </w:rPr>
        <w:t>240,000</w:t>
      </w:r>
    </w:p>
    <w:p>
      <w:pPr>
        <w:spacing w:after="0" w:line="5" w:lineRule="exact"/>
        <w:rPr>
          <w:sz w:val="20"/>
          <w:szCs w:val="20"/>
          <w:color w:val="auto"/>
        </w:rPr>
      </w:pPr>
    </w:p>
    <w:p>
      <w:pPr>
        <w:ind w:left="848"/>
        <w:spacing w:after="0"/>
        <w:rPr>
          <w:sz w:val="20"/>
          <w:szCs w:val="20"/>
          <w:color w:val="auto"/>
        </w:rPr>
      </w:pPr>
      <w:r>
        <w:rPr>
          <w:rFonts w:ascii="Arial" w:cs="Arial" w:eastAsia="Arial" w:hAnsi="Arial"/>
          <w:sz w:val="16"/>
          <w:szCs w:val="16"/>
          <w:color w:val="auto"/>
        </w:rPr>
        <w:t>1,000,000</w:t>
      </w:r>
    </w:p>
    <w:p>
      <w:pPr>
        <w:spacing w:after="0" w:line="5" w:lineRule="exact"/>
        <w:rPr>
          <w:sz w:val="20"/>
          <w:szCs w:val="20"/>
          <w:color w:val="auto"/>
        </w:rPr>
      </w:pPr>
    </w:p>
    <w:p>
      <w:pPr>
        <w:ind w:left="848"/>
        <w:spacing w:after="0"/>
        <w:rPr>
          <w:sz w:val="20"/>
          <w:szCs w:val="20"/>
          <w:color w:val="auto"/>
        </w:rPr>
      </w:pPr>
      <w:r>
        <w:rPr>
          <w:rFonts w:ascii="Arial" w:cs="Arial" w:eastAsia="Arial" w:hAnsi="Arial"/>
          <w:sz w:val="16"/>
          <w:szCs w:val="16"/>
          <w:color w:val="auto"/>
        </w:rPr>
        <w:t>1,100,000</w:t>
      </w:r>
    </w:p>
    <w:p>
      <w:pPr>
        <w:spacing w:after="0" w:line="15" w:lineRule="exact"/>
        <w:rPr>
          <w:sz w:val="20"/>
          <w:szCs w:val="20"/>
          <w:color w:val="auto"/>
        </w:rPr>
      </w:pPr>
    </w:p>
    <w:p>
      <w:pPr>
        <w:ind w:left="848"/>
        <w:spacing w:after="0"/>
        <w:rPr>
          <w:sz w:val="20"/>
          <w:szCs w:val="20"/>
          <w:color w:val="auto"/>
        </w:rPr>
      </w:pPr>
      <w:r>
        <w:rPr>
          <w:rFonts w:ascii="Arial" w:cs="Arial" w:eastAsia="Arial" w:hAnsi="Arial"/>
          <w:sz w:val="16"/>
          <w:szCs w:val="16"/>
          <w:color w:val="auto"/>
        </w:rPr>
        <w:t>3,090,000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(17,285)</w:t>
      </w:r>
    </w:p>
    <w:p>
      <w:pPr>
        <w:spacing w:after="0" w:line="5" w:lineRule="exact"/>
        <w:rPr>
          <w:sz w:val="20"/>
          <w:szCs w:val="20"/>
          <w:color w:val="auto"/>
        </w:rPr>
      </w:pPr>
    </w:p>
    <w:p>
      <w:pPr>
        <w:ind w:left="1168"/>
        <w:spacing w:after="0"/>
        <w:rPr>
          <w:sz w:val="20"/>
          <w:szCs w:val="20"/>
          <w:color w:val="auto"/>
        </w:rPr>
      </w:pPr>
      <w:r>
        <w:rPr>
          <w:rFonts w:ascii="Arial" w:cs="Arial" w:eastAsia="Arial" w:hAnsi="Arial"/>
          <w:sz w:val="16"/>
          <w:szCs w:val="16"/>
          <w:color w:val="auto"/>
        </w:rPr>
        <w:t>3,736</w:t>
      </w:r>
    </w:p>
    <w:p>
      <w:pPr>
        <w:spacing w:after="0" w:line="15" w:lineRule="exact"/>
        <w:rPr>
          <w:sz w:val="20"/>
          <w:szCs w:val="20"/>
          <w:color w:val="auto"/>
        </w:rPr>
      </w:pPr>
    </w:p>
    <w:p>
      <w:pPr>
        <w:ind w:left="848" w:hanging="848"/>
        <w:spacing w:after="0"/>
        <w:tabs>
          <w:tab w:leader="none" w:pos="848" w:val="left"/>
        </w:tabs>
        <w:numPr>
          <w:ilvl w:val="0"/>
          <w:numId w:val="8"/>
        </w:numPr>
        <w:rPr>
          <w:rFonts w:ascii="Arial" w:cs="Arial" w:eastAsia="Arial" w:hAnsi="Arial"/>
          <w:sz w:val="16"/>
          <w:szCs w:val="16"/>
          <w:color w:val="auto"/>
        </w:rPr>
      </w:pPr>
      <w:r>
        <w:rPr>
          <w:rFonts w:ascii="Arial" w:cs="Arial" w:eastAsia="Arial" w:hAnsi="Arial"/>
          <w:sz w:val="16"/>
          <w:szCs w:val="16"/>
          <w:color w:val="auto"/>
        </w:rPr>
        <w:t>3,076,451</w:t>
      </w:r>
    </w:p>
    <w:p>
      <w:pPr>
        <w:spacing w:after="0" w:line="222" w:lineRule="exact"/>
        <w:rPr>
          <w:sz w:val="20"/>
          <w:szCs w:val="20"/>
          <w:color w:val="auto"/>
        </w:rPr>
      </w:pPr>
    </w:p>
    <w:p>
      <w:pPr>
        <w:sectPr>
          <w:pgSz w:w="11900" w:h="16838" w:orient="portrait"/>
          <w:cols w:equalWidth="0" w:num="2">
            <w:col w:w="9360" w:space="192"/>
            <w:col w:w="1688"/>
          </w:cols>
          <w:pgMar w:left="320" w:top="935" w:right="339" w:bottom="1440" w:gutter="0" w:footer="0" w:header="0"/>
          <w:type w:val="continuous"/>
        </w:sectPr>
      </w:pPr>
    </w:p>
    <w:p>
      <w:pPr>
        <w:jc w:val="both"/>
        <w:ind w:right="140" w:firstLine="374"/>
        <w:spacing w:after="0" w:line="266" w:lineRule="auto"/>
        <w:rPr>
          <w:sz w:val="20"/>
          <w:szCs w:val="20"/>
          <w:color w:val="auto"/>
        </w:rPr>
      </w:pPr>
      <w:r>
        <w:rPr>
          <w:rFonts w:ascii="Arial" w:cs="Arial" w:eastAsia="Arial" w:hAnsi="Arial"/>
          <w:sz w:val="16"/>
          <w:szCs w:val="16"/>
          <w:color w:val="auto"/>
        </w:rPr>
        <w:t>On July 2, 2025, we utilized available cash on hand to repay $250 million of our $550 million unsecured notes that were scheduled to mature in March 2026. We also paid $3.5 million of accrued interest and wrote off $0.5 million of unamortized debt issuance costs related to the early partial payoff of these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13" w:name="page14"/>
    <w:bookmarkEnd w:id="13"/>
    <w:p>
      <w:pPr>
        <w:ind w:firstLine="374"/>
        <w:spacing w:after="0" w:line="266" w:lineRule="auto"/>
        <w:rPr>
          <w:sz w:val="20"/>
          <w:szCs w:val="20"/>
          <w:color w:val="auto"/>
        </w:rPr>
      </w:pPr>
      <w:r>
        <w:rPr>
          <w:rFonts w:ascii="Arial" w:cs="Arial" w:eastAsia="Arial" w:hAnsi="Arial"/>
          <w:sz w:val="16"/>
          <w:szCs w:val="16"/>
          <w:color w:val="auto"/>
        </w:rPr>
        <w:t>On September 22, 2025, we utilized available cash on hand to repay the remaining $300 million of our $550 million unsecured notes that were scheduled to mature in March 2026. We also paid $0.3 million of accrued interest and wrote off $0.4 million of unamortized debt issuance costs related to the early payoff of these notes.</w:t>
      </w:r>
    </w:p>
    <w:p>
      <w:pPr>
        <w:spacing w:after="0" w:line="144" w:lineRule="exact"/>
        <w:rPr>
          <w:sz w:val="20"/>
          <w:szCs w:val="20"/>
          <w:color w:val="auto"/>
        </w:rPr>
      </w:pPr>
    </w:p>
    <w:p>
      <w:pPr>
        <w:ind w:right="100" w:firstLine="374"/>
        <w:spacing w:after="0" w:line="259" w:lineRule="auto"/>
        <w:rPr>
          <w:sz w:val="20"/>
          <w:szCs w:val="20"/>
          <w:color w:val="auto"/>
        </w:rPr>
      </w:pPr>
      <w:r>
        <w:rPr>
          <w:rFonts w:ascii="Arial" w:cs="Arial" w:eastAsia="Arial" w:hAnsi="Arial"/>
          <w:sz w:val="16"/>
          <w:szCs w:val="16"/>
          <w:color w:val="auto"/>
        </w:rPr>
        <w:t>As of September 30, 2025, cash and cash equivalents totaled $232.8 million and we had $11.8 million of letters of credit outstanding and unused borrowing capacity of $738.2 million under our $750 million revolving credit facility, which expires in January 2029. We were in compliance with all covenants, including the leverage ratio (our one financial covenant) contained in our debt agreements and revolving credit facility. We believe, based on our current financial forecasts and trends, that we will remain compliant with all covenants for the foreseeable future.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 Retirement plans</w:t>
      </w:r>
    </w:p>
    <w:p>
      <w:pPr>
        <w:spacing w:after="0" w:line="194" w:lineRule="exact"/>
        <w:rPr>
          <w:sz w:val="20"/>
          <w:szCs w:val="20"/>
          <w:color w:val="auto"/>
        </w:rPr>
      </w:pPr>
    </w:p>
    <w:p>
      <w:pPr>
        <w:ind w:right="260" w:firstLine="374"/>
        <w:spacing w:after="0" w:line="266" w:lineRule="auto"/>
        <w:rPr>
          <w:sz w:val="20"/>
          <w:szCs w:val="20"/>
          <w:color w:val="auto"/>
        </w:rPr>
      </w:pPr>
      <w:r>
        <w:rPr>
          <w:rFonts w:ascii="Arial" w:cs="Arial" w:eastAsia="Arial" w:hAnsi="Arial"/>
          <w:sz w:val="16"/>
          <w:szCs w:val="16"/>
          <w:color w:val="auto"/>
        </w:rPr>
        <w:t>We have various defined benefit retirement plans. Our principal defined benefit pension plan is the TEGNA Retirement Plan (TRP). The total net pension obligations, including both current and non-current liabilities, as of September 30, 2025, were $68.3 million, of which $9.7 million is recorded as a current obligation within accrued liabilities on the Condensed Consolidated Balance Sheets.</w:t>
      </w:r>
    </w:p>
    <w:p>
      <w:pPr>
        <w:spacing w:after="0" w:line="144" w:lineRule="exact"/>
        <w:rPr>
          <w:sz w:val="20"/>
          <w:szCs w:val="20"/>
          <w:color w:val="auto"/>
        </w:rPr>
      </w:pPr>
    </w:p>
    <w:p>
      <w:pPr>
        <w:ind w:right="180" w:firstLine="374"/>
        <w:spacing w:after="0" w:line="286" w:lineRule="auto"/>
        <w:rPr>
          <w:sz w:val="20"/>
          <w:szCs w:val="20"/>
          <w:color w:val="auto"/>
        </w:rPr>
      </w:pPr>
      <w:r>
        <w:rPr>
          <w:rFonts w:ascii="Arial" w:cs="Arial" w:eastAsia="Arial" w:hAnsi="Arial"/>
          <w:sz w:val="16"/>
          <w:szCs w:val="16"/>
          <w:color w:val="auto"/>
        </w:rPr>
        <w:t>Pension costs (income), which primarily include costs for the qualified TRP and the non-qualified TEGNA Supplemental Retirement Plan (SERP), are presented in the following table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58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Quarter ended Sept. 30,</w:t>
            </w:r>
          </w:p>
        </w:tc>
        <w:tc>
          <w:tcPr>
            <w:tcW w:w="6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rPr>
              <w:t>Nine months ended Sept. 30,</w:t>
            </w:r>
          </w:p>
        </w:tc>
      </w:tr>
      <w:tr>
        <w:trPr>
          <w:trHeight w:val="183"/>
        </w:trPr>
        <w:tc>
          <w:tcPr>
            <w:tcW w:w="4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600" w:type="dxa"/>
            <w:vAlign w:val="bottom"/>
          </w:tcPr>
          <w:p>
            <w:pPr>
              <w:spacing w:after="0"/>
              <w:rPr>
                <w:sz w:val="15"/>
                <w:szCs w:val="15"/>
                <w:color w:val="auto"/>
              </w:rPr>
            </w:pPr>
          </w:p>
        </w:tc>
        <w:tc>
          <w:tcPr>
            <w:tcW w:w="106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2024</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539"/>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519"/>
              <w:spacing w:after="0" w:line="183" w:lineRule="exact"/>
              <w:rPr>
                <w:sz w:val="20"/>
                <w:szCs w:val="20"/>
                <w:color w:val="auto"/>
              </w:rPr>
            </w:pPr>
            <w:r>
              <w:rPr>
                <w:rFonts w:ascii="Arial" w:cs="Arial" w:eastAsia="Arial" w:hAnsi="Arial"/>
                <w:sz w:val="16"/>
                <w:szCs w:val="16"/>
                <w:b w:val="1"/>
                <w:bCs w:val="1"/>
                <w:color w:val="auto"/>
              </w:rPr>
              <w:t>2024</w:t>
            </w:r>
          </w:p>
        </w:tc>
      </w:tr>
      <w:tr>
        <w:trPr>
          <w:trHeight w:val="183"/>
        </w:trPr>
        <w:tc>
          <w:tcPr>
            <w:tcW w:w="4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r>
      <w:tr>
        <w:trPr>
          <w:trHeight w:val="189"/>
        </w:trPr>
        <w:tc>
          <w:tcPr>
            <w:tcW w:w="4200" w:type="dxa"/>
            <w:vAlign w:val="bottom"/>
            <w:shd w:val="clear" w:color="auto" w:fill="CFF0FC"/>
          </w:tcPr>
          <w:p>
            <w:pPr>
              <w:spacing w:after="0"/>
              <w:rPr>
                <w:sz w:val="20"/>
                <w:szCs w:val="20"/>
                <w:color w:val="auto"/>
              </w:rPr>
            </w:pPr>
            <w:r>
              <w:rPr>
                <w:rFonts w:ascii="Arial" w:cs="Arial" w:eastAsia="Arial" w:hAnsi="Arial"/>
                <w:sz w:val="16"/>
                <w:szCs w:val="16"/>
                <w:color w:val="auto"/>
              </w:rPr>
              <w:t>Interest cost on benefit obligation</w:t>
            </w:r>
          </w:p>
        </w:tc>
        <w:tc>
          <w:tcPr>
            <w:tcW w:w="1540" w:type="dxa"/>
            <w:vAlign w:val="bottom"/>
            <w:gridSpan w:val="2"/>
            <w:shd w:val="clear" w:color="auto" w:fill="CFF0FC"/>
          </w:tcPr>
          <w:p>
            <w:pPr>
              <w:jc w:val="right"/>
              <w:ind w:right="739"/>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5,444</w:t>
            </w:r>
          </w:p>
        </w:tc>
        <w:tc>
          <w:tcPr>
            <w:tcW w:w="1060" w:type="dxa"/>
            <w:vAlign w:val="bottom"/>
            <w:gridSpan w:val="2"/>
            <w:shd w:val="clear" w:color="auto" w:fill="CFF0FC"/>
          </w:tcPr>
          <w:p>
            <w:pPr>
              <w:jc w:val="right"/>
              <w:ind w:right="739"/>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5,686</w:t>
            </w:r>
          </w:p>
        </w:tc>
        <w:tc>
          <w:tcPr>
            <w:tcW w:w="40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16,332</w:t>
            </w:r>
          </w:p>
        </w:tc>
        <w:tc>
          <w:tcPr>
            <w:tcW w:w="42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17,058</w:t>
            </w:r>
          </w:p>
        </w:tc>
      </w:tr>
      <w:tr>
        <w:trPr>
          <w:trHeight w:val="189"/>
        </w:trPr>
        <w:tc>
          <w:tcPr>
            <w:tcW w:w="4200" w:type="dxa"/>
            <w:vAlign w:val="bottom"/>
          </w:tcPr>
          <w:p>
            <w:pPr>
              <w:spacing w:after="0"/>
              <w:rPr>
                <w:sz w:val="20"/>
                <w:szCs w:val="20"/>
                <w:color w:val="auto"/>
              </w:rPr>
            </w:pPr>
            <w:r>
              <w:rPr>
                <w:rFonts w:ascii="Arial" w:cs="Arial" w:eastAsia="Arial" w:hAnsi="Arial"/>
                <w:sz w:val="16"/>
                <w:szCs w:val="16"/>
                <w:color w:val="auto"/>
              </w:rPr>
              <w:t>Expected return on plan assets</w:t>
            </w: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(5,179)</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(5,517)</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(15,539)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(16,550)</w:t>
            </w:r>
          </w:p>
        </w:tc>
      </w:tr>
      <w:tr>
        <w:trPr>
          <w:trHeight w:val="189"/>
        </w:trPr>
        <w:tc>
          <w:tcPr>
            <w:tcW w:w="4200" w:type="dxa"/>
            <w:vAlign w:val="bottom"/>
            <w:shd w:val="clear" w:color="auto" w:fill="CFF0FC"/>
          </w:tcPr>
          <w:p>
            <w:pPr>
              <w:spacing w:after="0"/>
              <w:rPr>
                <w:sz w:val="20"/>
                <w:szCs w:val="20"/>
                <w:color w:val="auto"/>
              </w:rPr>
            </w:pPr>
            <w:r>
              <w:rPr>
                <w:rFonts w:ascii="Arial" w:cs="Arial" w:eastAsia="Arial" w:hAnsi="Arial"/>
                <w:sz w:val="16"/>
                <w:szCs w:val="16"/>
                <w:color w:val="auto"/>
              </w:rPr>
              <w:t>Amortization of prior service (credit) cost</w:t>
            </w:r>
          </w:p>
        </w:tc>
        <w:tc>
          <w:tcPr>
            <w:tcW w:w="6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68</w:t>
            </w:r>
          </w:p>
        </w:tc>
      </w:tr>
      <w:tr>
        <w:trPr>
          <w:trHeight w:val="189"/>
        </w:trPr>
        <w:tc>
          <w:tcPr>
            <w:tcW w:w="4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Amortization of actuarial loss</w:t>
            </w: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1,478</w:t>
            </w:r>
          </w:p>
        </w:tc>
        <w:tc>
          <w:tcPr>
            <w:tcW w:w="140" w:type="dxa"/>
            <w:vAlign w:val="bottom"/>
            <w:tcBorders>
              <w:bottom w:val="single" w:sz="8" w:color="CFF0FC"/>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1,475</w:t>
            </w:r>
          </w:p>
        </w:tc>
        <w:tc>
          <w:tcPr>
            <w:tcW w:w="16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4,433</w:t>
            </w:r>
          </w:p>
        </w:tc>
        <w:tc>
          <w:tcPr>
            <w:tcW w:w="1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4,425</w:t>
            </w:r>
          </w:p>
        </w:tc>
      </w:tr>
      <w:tr>
        <w:trPr>
          <w:trHeight w:val="223"/>
        </w:trPr>
        <w:tc>
          <w:tcPr>
            <w:tcW w:w="420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Expense for company-sponsored retirement plans</w:t>
            </w:r>
          </w:p>
        </w:tc>
        <w:tc>
          <w:tcPr>
            <w:tcW w:w="1540" w:type="dxa"/>
            <w:vAlign w:val="bottom"/>
            <w:tcBorders>
              <w:bottom w:val="single" w:sz="8" w:color="auto"/>
            </w:tcBorders>
            <w:gridSpan w:val="2"/>
            <w:shd w:val="clear" w:color="auto" w:fill="CFF0FC"/>
          </w:tcPr>
          <w:p>
            <w:pPr>
              <w:jc w:val="right"/>
              <w:ind w:right="739"/>
              <w:spacing w:after="0" w:line="183" w:lineRule="exact"/>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1,684</w:t>
            </w:r>
          </w:p>
        </w:tc>
        <w:tc>
          <w:tcPr>
            <w:tcW w:w="1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9"/>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1,667</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5,050</w:t>
            </w: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5,001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-25400</wp:posOffset>
            </wp:positionV>
            <wp:extent cx="93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-7620</wp:posOffset>
            </wp:positionV>
            <wp:extent cx="939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-153670</wp:posOffset>
            </wp:positionV>
            <wp:extent cx="939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-25400</wp:posOffset>
            </wp:positionV>
            <wp:extent cx="1028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1028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-153670</wp:posOffset>
            </wp:positionV>
            <wp:extent cx="1028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857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857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-153670</wp:posOffset>
            </wp:positionV>
            <wp:extent cx="857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55" w:lineRule="exact"/>
        <w:rPr>
          <w:sz w:val="20"/>
          <w:szCs w:val="20"/>
          <w:color w:val="auto"/>
        </w:rPr>
      </w:pPr>
    </w:p>
    <w:p>
      <w:pPr>
        <w:ind w:right="280" w:firstLine="374"/>
        <w:spacing w:after="0" w:line="266" w:lineRule="auto"/>
        <w:rPr>
          <w:sz w:val="20"/>
          <w:szCs w:val="20"/>
          <w:color w:val="auto"/>
        </w:rPr>
      </w:pPr>
      <w:r>
        <w:rPr>
          <w:rFonts w:ascii="Arial" w:cs="Arial" w:eastAsia="Arial" w:hAnsi="Arial"/>
          <w:sz w:val="16"/>
          <w:szCs w:val="16"/>
          <w:color w:val="auto"/>
        </w:rPr>
        <w:t>Benefits no longer accrue for TRP and SERP participants as a result of amendments to the plans in past years, and as such we no longer incur a service cost component of pension expense. All other components of our pension expense presented above are included within the “Other non-operating items, net” line item of the Consolidated Statements of Income.</w:t>
      </w:r>
    </w:p>
    <w:p>
      <w:pPr>
        <w:spacing w:after="0" w:line="144" w:lineRule="exact"/>
        <w:rPr>
          <w:sz w:val="20"/>
          <w:szCs w:val="20"/>
          <w:color w:val="auto"/>
        </w:rPr>
      </w:pPr>
    </w:p>
    <w:p>
      <w:pPr>
        <w:jc w:val="both"/>
        <w:ind w:right="20" w:firstLine="374"/>
        <w:spacing w:after="0" w:line="259" w:lineRule="auto"/>
        <w:rPr>
          <w:sz w:val="20"/>
          <w:szCs w:val="20"/>
          <w:color w:val="auto"/>
        </w:rPr>
      </w:pPr>
      <w:r>
        <w:rPr>
          <w:rFonts w:ascii="Arial" w:cs="Arial" w:eastAsia="Arial" w:hAnsi="Arial"/>
          <w:sz w:val="16"/>
          <w:szCs w:val="16"/>
          <w:color w:val="auto"/>
        </w:rPr>
        <w:t>During the nine months ended September 30, 2025 we did not make any cash contributions to the TRP, and do not expect to make any contributions to the TRP during the remainder of 2025. We made contributions of $3.7 million in the nine months ended September 30, 2024. We made benefit payments to SERP participants of $4.2 million and $2.8 million during the nine months ended September 30, 2025 and 2024, respectively, and expect to make additional cash payments of $1.0 million to SERP participants during the remainder of 2025.</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NOTE 6 – Accumulated other comprehensive loss</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summarizes the components of, and the changes in, Accumulated Other Comprehensive Loss (AOCL), net of tax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379"/>
              <w:spacing w:after="0"/>
              <w:rPr>
                <w:sz w:val="20"/>
                <w:szCs w:val="20"/>
                <w:color w:val="auto"/>
              </w:rPr>
            </w:pPr>
            <w:r>
              <w:rPr>
                <w:rFonts w:ascii="Arial" w:cs="Arial" w:eastAsia="Arial" w:hAnsi="Arial"/>
                <w:sz w:val="16"/>
                <w:szCs w:val="16"/>
                <w:b w:val="1"/>
                <w:bCs w:val="1"/>
                <w:color w:val="auto"/>
              </w:rPr>
              <w:t>Retirement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479"/>
              <w:spacing w:after="0"/>
              <w:rPr>
                <w:sz w:val="20"/>
                <w:szCs w:val="20"/>
                <w:color w:val="auto"/>
              </w:rPr>
            </w:pPr>
            <w:r>
              <w:rPr>
                <w:rFonts w:ascii="Arial" w:cs="Arial" w:eastAsia="Arial" w:hAnsi="Arial"/>
                <w:sz w:val="16"/>
                <w:szCs w:val="16"/>
                <w:b w:val="1"/>
                <w:bCs w:val="1"/>
                <w:color w:val="auto"/>
              </w:rPr>
              <w:t>Foreign</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3"/>
        </w:trPr>
        <w:tc>
          <w:tcPr>
            <w:tcW w:w="43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Plans</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Currency</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Total</w:t>
            </w:r>
          </w:p>
        </w:tc>
      </w:tr>
      <w:tr>
        <w:trPr>
          <w:trHeight w:val="183"/>
        </w:trPr>
        <w:tc>
          <w:tcPr>
            <w:tcW w:w="436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Quarter ended:</w:t>
            </w:r>
          </w:p>
        </w:tc>
        <w:tc>
          <w:tcPr>
            <w:tcW w:w="1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189"/>
        </w:trPr>
        <w:tc>
          <w:tcPr>
            <w:tcW w:w="4360" w:type="dxa"/>
            <w:vAlign w:val="bottom"/>
          </w:tcPr>
          <w:p>
            <w:pPr>
              <w:spacing w:after="0"/>
              <w:rPr>
                <w:sz w:val="20"/>
                <w:szCs w:val="20"/>
                <w:color w:val="auto"/>
              </w:rPr>
            </w:pPr>
            <w:r>
              <w:rPr>
                <w:rFonts w:ascii="Arial" w:cs="Arial" w:eastAsia="Arial" w:hAnsi="Arial"/>
                <w:sz w:val="16"/>
                <w:szCs w:val="16"/>
                <w:color w:val="auto"/>
              </w:rPr>
              <w:t>Balance as of June 30, 2025</w:t>
            </w:r>
          </w:p>
        </w:tc>
        <w:tc>
          <w:tcPr>
            <w:tcW w:w="1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(105,064)</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532</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(104,532)</w:t>
            </w:r>
          </w:p>
        </w:tc>
      </w:tr>
      <w:tr>
        <w:trPr>
          <w:trHeight w:val="189"/>
        </w:trPr>
        <w:tc>
          <w:tcPr>
            <w:tcW w:w="436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color w:val="auto"/>
              </w:rPr>
              <w:t>Amounts reclassified from AOCL</w:t>
            </w:r>
          </w:p>
        </w:tc>
        <w:tc>
          <w:tcPr>
            <w:tcW w:w="1740" w:type="dxa"/>
            <w:vAlign w:val="bottom"/>
            <w:tcBorders>
              <w:bottom w:val="single" w:sz="8" w:color="auto"/>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1,028</w:t>
            </w:r>
          </w:p>
        </w:tc>
        <w:tc>
          <w:tcPr>
            <w:tcW w:w="1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(532)</w:t>
            </w:r>
          </w:p>
        </w:tc>
        <w:tc>
          <w:tcPr>
            <w:tcW w:w="14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496</w:t>
            </w:r>
          </w:p>
        </w:tc>
      </w:tr>
      <w:tr>
        <w:trPr>
          <w:trHeight w:val="183"/>
        </w:trPr>
        <w:tc>
          <w:tcPr>
            <w:tcW w:w="436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color w:val="auto"/>
              </w:rPr>
              <w:t>Total other comprehensive income</w:t>
            </w:r>
          </w:p>
        </w:tc>
        <w:tc>
          <w:tcPr>
            <w:tcW w:w="1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1,028</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(532)</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496</w:t>
            </w:r>
          </w:p>
        </w:tc>
      </w:tr>
      <w:tr>
        <w:trPr>
          <w:trHeight w:val="223"/>
        </w:trPr>
        <w:tc>
          <w:tcPr>
            <w:tcW w:w="43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as of Sept. 30, 2025</w:t>
            </w:r>
          </w:p>
        </w:tc>
        <w:tc>
          <w:tcPr>
            <w:tcW w:w="194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(104,036)</w:t>
            </w:r>
          </w:p>
        </w:tc>
        <w:tc>
          <w:tcPr>
            <w:tcW w:w="38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46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(104,036)</w:t>
            </w:r>
          </w:p>
        </w:tc>
      </w:tr>
      <w:tr>
        <w:trPr>
          <w:trHeight w:val="169"/>
        </w:trPr>
        <w:tc>
          <w:tcPr>
            <w:tcW w:w="436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r>
      <w:tr>
        <w:trPr>
          <w:trHeight w:val="189"/>
        </w:trPr>
        <w:tc>
          <w:tcPr>
            <w:tcW w:w="4360" w:type="dxa"/>
            <w:vAlign w:val="bottom"/>
            <w:shd w:val="clear" w:color="auto" w:fill="CFF0FC"/>
          </w:tcPr>
          <w:p>
            <w:pPr>
              <w:spacing w:after="0"/>
              <w:rPr>
                <w:sz w:val="16"/>
                <w:szCs w:val="16"/>
                <w:color w:val="auto"/>
              </w:rPr>
            </w:pPr>
          </w:p>
        </w:tc>
        <w:tc>
          <w:tcPr>
            <w:tcW w:w="1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r>
      <w:tr>
        <w:trPr>
          <w:trHeight w:val="189"/>
        </w:trPr>
        <w:tc>
          <w:tcPr>
            <w:tcW w:w="4360" w:type="dxa"/>
            <w:vAlign w:val="bottom"/>
          </w:tcPr>
          <w:p>
            <w:pPr>
              <w:spacing w:after="0"/>
              <w:rPr>
                <w:sz w:val="20"/>
                <w:szCs w:val="20"/>
                <w:color w:val="auto"/>
              </w:rPr>
            </w:pPr>
            <w:r>
              <w:rPr>
                <w:rFonts w:ascii="Arial" w:cs="Arial" w:eastAsia="Arial" w:hAnsi="Arial"/>
                <w:sz w:val="16"/>
                <w:szCs w:val="16"/>
                <w:color w:val="auto"/>
              </w:rPr>
              <w:t>Balance as of June 30, 2024</w:t>
            </w:r>
          </w:p>
        </w:tc>
        <w:tc>
          <w:tcPr>
            <w:tcW w:w="1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(117,921)</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532</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(117,389)</w:t>
            </w:r>
          </w:p>
        </w:tc>
      </w:tr>
      <w:tr>
        <w:trPr>
          <w:trHeight w:val="189"/>
        </w:trPr>
        <w:tc>
          <w:tcPr>
            <w:tcW w:w="436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color w:val="auto"/>
              </w:rPr>
              <w:t>Amounts reclassified from AOCL</w:t>
            </w:r>
          </w:p>
        </w:tc>
        <w:tc>
          <w:tcPr>
            <w:tcW w:w="1740" w:type="dxa"/>
            <w:vAlign w:val="bottom"/>
            <w:tcBorders>
              <w:bottom w:val="single" w:sz="8" w:color="auto"/>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1,112</w:t>
            </w:r>
          </w:p>
        </w:tc>
        <w:tc>
          <w:tcPr>
            <w:tcW w:w="1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1,112</w:t>
            </w:r>
          </w:p>
        </w:tc>
      </w:tr>
      <w:tr>
        <w:trPr>
          <w:trHeight w:val="183"/>
        </w:trPr>
        <w:tc>
          <w:tcPr>
            <w:tcW w:w="436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color w:val="auto"/>
              </w:rPr>
              <w:t>Total other comprehensive income</w:t>
            </w:r>
          </w:p>
        </w:tc>
        <w:tc>
          <w:tcPr>
            <w:tcW w:w="1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1,112</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1,112</w:t>
            </w:r>
          </w:p>
        </w:tc>
      </w:tr>
      <w:tr>
        <w:trPr>
          <w:trHeight w:val="223"/>
        </w:trPr>
        <w:tc>
          <w:tcPr>
            <w:tcW w:w="43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as of Sept. 30, 2024</w:t>
            </w:r>
          </w:p>
        </w:tc>
        <w:tc>
          <w:tcPr>
            <w:tcW w:w="194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(116,809)</w:t>
            </w:r>
          </w:p>
        </w:tc>
        <w:tc>
          <w:tcPr>
            <w:tcW w:w="38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532</w:t>
            </w:r>
          </w:p>
        </w:tc>
        <w:tc>
          <w:tcPr>
            <w:tcW w:w="46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(116,277)</w:t>
            </w:r>
          </w:p>
        </w:tc>
      </w:tr>
      <w:tr>
        <w:trPr>
          <w:trHeight w:val="170"/>
        </w:trPr>
        <w:tc>
          <w:tcPr>
            <w:tcW w:w="436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r>
      <w:tr>
        <w:trPr>
          <w:trHeight w:val="189"/>
        </w:trPr>
        <w:tc>
          <w:tcPr>
            <w:tcW w:w="43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Nine Months Ended:</w:t>
            </w:r>
          </w:p>
        </w:tc>
        <w:tc>
          <w:tcPr>
            <w:tcW w:w="1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r>
      <w:tr>
        <w:trPr>
          <w:trHeight w:val="189"/>
        </w:trPr>
        <w:tc>
          <w:tcPr>
            <w:tcW w:w="4360" w:type="dxa"/>
            <w:vAlign w:val="bottom"/>
          </w:tcPr>
          <w:p>
            <w:pPr>
              <w:spacing w:after="0"/>
              <w:rPr>
                <w:sz w:val="20"/>
                <w:szCs w:val="20"/>
                <w:color w:val="auto"/>
              </w:rPr>
            </w:pPr>
            <w:r>
              <w:rPr>
                <w:rFonts w:ascii="Arial" w:cs="Arial" w:eastAsia="Arial" w:hAnsi="Arial"/>
                <w:sz w:val="16"/>
                <w:szCs w:val="16"/>
                <w:color w:val="auto"/>
              </w:rPr>
              <w:t>Balance as of Dec. 31, 2024</w:t>
            </w:r>
          </w:p>
        </w:tc>
        <w:tc>
          <w:tcPr>
            <w:tcW w:w="1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(107,176)</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532</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(106,644)</w:t>
            </w:r>
          </w:p>
        </w:tc>
      </w:tr>
      <w:tr>
        <w:trPr>
          <w:trHeight w:val="189"/>
        </w:trPr>
        <w:tc>
          <w:tcPr>
            <w:tcW w:w="436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color w:val="auto"/>
              </w:rPr>
              <w:t>Amounts reclassified from AOCL</w:t>
            </w:r>
          </w:p>
        </w:tc>
        <w:tc>
          <w:tcPr>
            <w:tcW w:w="1740" w:type="dxa"/>
            <w:vAlign w:val="bottom"/>
            <w:tcBorders>
              <w:bottom w:val="single" w:sz="8" w:color="auto"/>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3,140</w:t>
            </w:r>
          </w:p>
        </w:tc>
        <w:tc>
          <w:tcPr>
            <w:tcW w:w="1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(532)</w:t>
            </w:r>
          </w:p>
        </w:tc>
        <w:tc>
          <w:tcPr>
            <w:tcW w:w="14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2,608</w:t>
            </w:r>
          </w:p>
        </w:tc>
      </w:tr>
      <w:tr>
        <w:trPr>
          <w:trHeight w:val="183"/>
        </w:trPr>
        <w:tc>
          <w:tcPr>
            <w:tcW w:w="436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color w:val="auto"/>
              </w:rPr>
              <w:t>Total other comprehensive income</w:t>
            </w:r>
          </w:p>
        </w:tc>
        <w:tc>
          <w:tcPr>
            <w:tcW w:w="1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3,140</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(532)</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2,608</w:t>
            </w:r>
          </w:p>
        </w:tc>
      </w:tr>
      <w:tr>
        <w:trPr>
          <w:trHeight w:val="223"/>
        </w:trPr>
        <w:tc>
          <w:tcPr>
            <w:tcW w:w="43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as of Sept. 30, 2025</w:t>
            </w:r>
          </w:p>
        </w:tc>
        <w:tc>
          <w:tcPr>
            <w:tcW w:w="194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(104,036)</w:t>
            </w:r>
          </w:p>
        </w:tc>
        <w:tc>
          <w:tcPr>
            <w:tcW w:w="38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46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(104,036)</w:t>
            </w:r>
          </w:p>
        </w:tc>
      </w:tr>
      <w:tr>
        <w:trPr>
          <w:trHeight w:val="169"/>
        </w:trPr>
        <w:tc>
          <w:tcPr>
            <w:tcW w:w="436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r>
      <w:tr>
        <w:trPr>
          <w:trHeight w:val="189"/>
        </w:trPr>
        <w:tc>
          <w:tcPr>
            <w:tcW w:w="4360" w:type="dxa"/>
            <w:vAlign w:val="bottom"/>
            <w:shd w:val="clear" w:color="auto" w:fill="CFF0FC"/>
          </w:tcPr>
          <w:p>
            <w:pPr>
              <w:spacing w:after="0"/>
              <w:rPr>
                <w:sz w:val="16"/>
                <w:szCs w:val="16"/>
                <w:color w:val="auto"/>
              </w:rPr>
            </w:pPr>
          </w:p>
        </w:tc>
        <w:tc>
          <w:tcPr>
            <w:tcW w:w="1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r>
      <w:tr>
        <w:trPr>
          <w:trHeight w:val="189"/>
        </w:trPr>
        <w:tc>
          <w:tcPr>
            <w:tcW w:w="4360" w:type="dxa"/>
            <w:vAlign w:val="bottom"/>
          </w:tcPr>
          <w:p>
            <w:pPr>
              <w:spacing w:after="0"/>
              <w:rPr>
                <w:sz w:val="20"/>
                <w:szCs w:val="20"/>
                <w:color w:val="auto"/>
              </w:rPr>
            </w:pPr>
            <w:r>
              <w:rPr>
                <w:rFonts w:ascii="Arial" w:cs="Arial" w:eastAsia="Arial" w:hAnsi="Arial"/>
                <w:sz w:val="16"/>
                <w:szCs w:val="16"/>
                <w:color w:val="auto"/>
              </w:rPr>
              <w:t>Balance as of Dec. 31, 2023</w:t>
            </w:r>
          </w:p>
        </w:tc>
        <w:tc>
          <w:tcPr>
            <w:tcW w:w="1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(120,142)</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532</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(119,610)</w:t>
            </w:r>
          </w:p>
        </w:tc>
      </w:tr>
      <w:tr>
        <w:trPr>
          <w:trHeight w:val="189"/>
        </w:trPr>
        <w:tc>
          <w:tcPr>
            <w:tcW w:w="436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color w:val="auto"/>
              </w:rPr>
              <w:t>Amounts reclassified from AOCL</w:t>
            </w:r>
          </w:p>
        </w:tc>
        <w:tc>
          <w:tcPr>
            <w:tcW w:w="1740" w:type="dxa"/>
            <w:vAlign w:val="bottom"/>
            <w:tcBorders>
              <w:bottom w:val="single" w:sz="8" w:color="auto"/>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3,333</w:t>
            </w:r>
          </w:p>
        </w:tc>
        <w:tc>
          <w:tcPr>
            <w:tcW w:w="1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3,333</w:t>
            </w:r>
          </w:p>
        </w:tc>
      </w:tr>
      <w:tr>
        <w:trPr>
          <w:trHeight w:val="183"/>
        </w:trPr>
        <w:tc>
          <w:tcPr>
            <w:tcW w:w="436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color w:val="auto"/>
              </w:rPr>
              <w:t>Total other comprehensive income</w:t>
            </w:r>
          </w:p>
        </w:tc>
        <w:tc>
          <w:tcPr>
            <w:tcW w:w="1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3,333</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3,333</w:t>
            </w:r>
          </w:p>
        </w:tc>
      </w:tr>
      <w:tr>
        <w:trPr>
          <w:trHeight w:val="202"/>
        </w:trPr>
        <w:tc>
          <w:tcPr>
            <w:tcW w:w="43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as of Sept. 30, 2024</w:t>
            </w:r>
          </w:p>
        </w:tc>
        <w:tc>
          <w:tcPr>
            <w:tcW w:w="194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(116,809)</w:t>
            </w:r>
          </w:p>
        </w:tc>
        <w:tc>
          <w:tcPr>
            <w:tcW w:w="38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532</w:t>
            </w:r>
          </w:p>
        </w:tc>
        <w:tc>
          <w:tcPr>
            <w:tcW w:w="46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(116,277)</w:t>
            </w:r>
          </w:p>
        </w:tc>
      </w:tr>
      <w:tr>
        <w:trPr>
          <w:trHeight w:val="20"/>
        </w:trPr>
        <w:tc>
          <w:tcPr>
            <w:tcW w:w="436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-2571115</wp:posOffset>
            </wp:positionV>
            <wp:extent cx="857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-2571115</wp:posOffset>
            </wp:positionV>
            <wp:extent cx="857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-2313940</wp:posOffset>
            </wp:positionV>
            <wp:extent cx="857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-2296795</wp:posOffset>
            </wp:positionV>
            <wp:extent cx="857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-2313940</wp:posOffset>
            </wp:positionV>
            <wp:extent cx="857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-2296795</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-1808480</wp:posOffset>
            </wp:positionV>
            <wp:extent cx="857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-1808480</wp:posOffset>
            </wp:positionV>
            <wp:extent cx="857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-1551305</wp:posOffset>
            </wp:positionV>
            <wp:extent cx="857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-1533525</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-1551305</wp:posOffset>
            </wp:positionV>
            <wp:extent cx="857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-1533525</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-1045210</wp:posOffset>
            </wp:positionV>
            <wp:extent cx="85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-1045210</wp:posOffset>
            </wp:positionV>
            <wp:extent cx="857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-788035</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-770890</wp:posOffset>
            </wp:positionV>
            <wp:extent cx="857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-788035</wp:posOffset>
            </wp:positionV>
            <wp:extent cx="857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-770890</wp:posOffset>
            </wp:positionV>
            <wp:extent cx="857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-281940</wp:posOffset>
            </wp:positionV>
            <wp:extent cx="857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-281940</wp:posOffset>
            </wp:positionV>
            <wp:extent cx="85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-25400</wp:posOffset>
            </wp:positionV>
            <wp:extent cx="857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-8255</wp:posOffset>
            </wp:positionV>
            <wp:extent cx="857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857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857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55" w:lineRule="exact"/>
        <w:rPr>
          <w:sz w:val="20"/>
          <w:szCs w:val="20"/>
          <w:color w:val="auto"/>
        </w:rPr>
      </w:pPr>
    </w:p>
    <w:p>
      <w:pPr>
        <w:ind w:right="80" w:firstLine="374"/>
        <w:spacing w:after="0" w:line="266" w:lineRule="auto"/>
        <w:rPr>
          <w:sz w:val="20"/>
          <w:szCs w:val="20"/>
          <w:color w:val="auto"/>
        </w:rPr>
      </w:pPr>
      <w:r>
        <w:rPr>
          <w:rFonts w:ascii="Arial" w:cs="Arial" w:eastAsia="Arial" w:hAnsi="Arial"/>
          <w:sz w:val="16"/>
          <w:szCs w:val="16"/>
          <w:color w:val="auto"/>
        </w:rPr>
        <w:t>Reclassifications from AOCL to the Consolidated Statements of Income are comprised of pension and other post-retirement components. Pension and other post-retirement reclassifications are related to the amortization of prior service (credits) costs and actuarial losses. Amounts reclassified out of AOCL are summarized below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6"/>
                <w:szCs w:val="16"/>
                <w:b w:val="1"/>
                <w:bCs w:val="1"/>
                <w:color w:val="auto"/>
              </w:rPr>
              <w:t>Quarter ended Sept. 30,</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tcBorders>
              <w:bottom w:val="single" w:sz="8" w:color="auto"/>
            </w:tcBorders>
            <w:gridSpan w:val="5"/>
          </w:tcPr>
          <w:p>
            <w:pPr>
              <w:jc w:val="right"/>
              <w:ind w:right="259"/>
              <w:spacing w:after="0"/>
              <w:rPr>
                <w:sz w:val="20"/>
                <w:szCs w:val="20"/>
                <w:color w:val="auto"/>
              </w:rPr>
            </w:pPr>
            <w:r>
              <w:rPr>
                <w:rFonts w:ascii="Arial" w:cs="Arial" w:eastAsia="Arial" w:hAnsi="Arial"/>
                <w:sz w:val="16"/>
                <w:szCs w:val="16"/>
                <w:b w:val="1"/>
                <w:bCs w:val="1"/>
                <w:color w:val="auto"/>
              </w:rPr>
              <w:t>Nine months ended Sept. 30,</w:t>
            </w:r>
          </w:p>
        </w:tc>
      </w:tr>
      <w:tr>
        <w:trPr>
          <w:trHeight w:val="183"/>
        </w:trPr>
        <w:tc>
          <w:tcPr>
            <w:tcW w:w="4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580" w:type="dxa"/>
            <w:vAlign w:val="bottom"/>
          </w:tcPr>
          <w:p>
            <w:pPr>
              <w:spacing w:after="0"/>
              <w:rPr>
                <w:sz w:val="15"/>
                <w:szCs w:val="15"/>
                <w:color w:val="auto"/>
              </w:rPr>
            </w:pPr>
          </w:p>
        </w:tc>
        <w:tc>
          <w:tcPr>
            <w:tcW w:w="1000" w:type="dxa"/>
            <w:vAlign w:val="bottom"/>
            <w:gridSpan w:val="2"/>
          </w:tcPr>
          <w:p>
            <w:pPr>
              <w:jc w:val="right"/>
              <w:ind w:right="40"/>
              <w:spacing w:after="0" w:line="183" w:lineRule="exact"/>
              <w:rPr>
                <w:sz w:val="20"/>
                <w:szCs w:val="20"/>
                <w:color w:val="auto"/>
              </w:rPr>
            </w:pPr>
            <w:r>
              <w:rPr>
                <w:rFonts w:ascii="Arial" w:cs="Arial" w:eastAsia="Arial" w:hAnsi="Arial"/>
                <w:sz w:val="16"/>
                <w:szCs w:val="16"/>
                <w:b w:val="1"/>
                <w:bCs w:val="1"/>
                <w:color w:val="auto"/>
              </w:rPr>
              <w:t>2024</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419"/>
              <w:spacing w:after="0" w:line="183" w:lineRule="exact"/>
              <w:rPr>
                <w:sz w:val="20"/>
                <w:szCs w:val="20"/>
                <w:color w:val="auto"/>
              </w:rPr>
            </w:pPr>
            <w:r>
              <w:rPr>
                <w:rFonts w:ascii="Arial" w:cs="Arial" w:eastAsia="Arial" w:hAnsi="Arial"/>
                <w:sz w:val="16"/>
                <w:szCs w:val="16"/>
                <w:b w:val="1"/>
                <w:bCs w:val="1"/>
                <w:color w:val="auto"/>
              </w:rPr>
              <w:t>2024</w:t>
            </w:r>
          </w:p>
        </w:tc>
      </w:tr>
      <w:tr>
        <w:trPr>
          <w:trHeight w:val="183"/>
        </w:trPr>
        <w:tc>
          <w:tcPr>
            <w:tcW w:w="4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r>
      <w:tr>
        <w:trPr>
          <w:trHeight w:val="189"/>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Amortization of prior service (credit) cost</w:t>
            </w:r>
          </w:p>
        </w:tc>
        <w:tc>
          <w:tcPr>
            <w:tcW w:w="2100" w:type="dxa"/>
            <w:vAlign w:val="bottom"/>
            <w:gridSpan w:val="2"/>
            <w:shd w:val="clear" w:color="auto" w:fill="CFF0FC"/>
          </w:tcPr>
          <w:p>
            <w:pPr>
              <w:jc w:val="right"/>
              <w:ind w:right="699"/>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1000" w:type="dxa"/>
            <w:vAlign w:val="bottom"/>
            <w:gridSpan w:val="2"/>
            <w:shd w:val="clear" w:color="auto" w:fill="CFF0FC"/>
          </w:tcPr>
          <w:p>
            <w:pPr>
              <w:jc w:val="right"/>
              <w:ind w:right="7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w:t>
            </w:r>
          </w:p>
        </w:tc>
        <w:tc>
          <w:tcPr>
            <w:tcW w:w="940" w:type="dxa"/>
            <w:vAlign w:val="bottom"/>
            <w:gridSpan w:val="2"/>
            <w:shd w:val="clear" w:color="auto" w:fill="CFF0FC"/>
          </w:tcPr>
          <w:p>
            <w:pPr>
              <w:jc w:val="right"/>
              <w:ind w:right="659"/>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w:t>
            </w: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68</w:t>
            </w:r>
          </w:p>
        </w:tc>
      </w:tr>
      <w:tr>
        <w:trPr>
          <w:trHeight w:val="189"/>
        </w:trPr>
        <w:tc>
          <w:tcPr>
            <w:tcW w:w="4120" w:type="dxa"/>
            <w:vAlign w:val="bottom"/>
          </w:tcPr>
          <w:p>
            <w:pPr>
              <w:spacing w:after="0"/>
              <w:rPr>
                <w:sz w:val="20"/>
                <w:szCs w:val="20"/>
                <w:color w:val="auto"/>
              </w:rPr>
            </w:pPr>
            <w:r>
              <w:rPr>
                <w:rFonts w:ascii="Arial" w:cs="Arial" w:eastAsia="Arial" w:hAnsi="Arial"/>
                <w:sz w:val="16"/>
                <w:szCs w:val="16"/>
                <w:color w:val="auto"/>
              </w:rPr>
              <w:t>Amortization of actuarial loss</w:t>
            </w:r>
          </w:p>
        </w:tc>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1,478</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1,475</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4,433</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4,425</w:t>
            </w:r>
          </w:p>
        </w:tc>
      </w:tr>
      <w:tr>
        <w:trPr>
          <w:trHeight w:val="189"/>
        </w:trPr>
        <w:tc>
          <w:tcPr>
            <w:tcW w:w="4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Foreign currency</w:t>
            </w:r>
          </w:p>
        </w:tc>
        <w:tc>
          <w:tcPr>
            <w:tcW w:w="122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(560)</w:t>
            </w:r>
          </w:p>
        </w:tc>
        <w:tc>
          <w:tcPr>
            <w:tcW w:w="14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(560)</w:t>
            </w:r>
          </w:p>
        </w:tc>
        <w:tc>
          <w:tcPr>
            <w:tcW w:w="1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3"/>
        </w:trPr>
        <w:tc>
          <w:tcPr>
            <w:tcW w:w="4120" w:type="dxa"/>
            <w:vAlign w:val="bottom"/>
          </w:tcPr>
          <w:p>
            <w:pPr>
              <w:spacing w:after="0" w:line="183" w:lineRule="exact"/>
              <w:rPr>
                <w:sz w:val="20"/>
                <w:szCs w:val="20"/>
                <w:color w:val="auto"/>
              </w:rPr>
            </w:pPr>
            <w:r>
              <w:rPr>
                <w:rFonts w:ascii="Arial" w:cs="Arial" w:eastAsia="Arial" w:hAnsi="Arial"/>
                <w:sz w:val="16"/>
                <w:szCs w:val="16"/>
                <w:color w:val="auto"/>
              </w:rPr>
              <w:t>Total reclassifications, before tax</w:t>
            </w: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jc w:val="right"/>
              <w:ind w:right="59"/>
              <w:spacing w:after="0" w:line="183" w:lineRule="exact"/>
              <w:rPr>
                <w:sz w:val="20"/>
                <w:szCs w:val="20"/>
                <w:color w:val="auto"/>
              </w:rPr>
            </w:pPr>
            <w:r>
              <w:rPr>
                <w:rFonts w:ascii="Arial" w:cs="Arial" w:eastAsia="Arial" w:hAnsi="Arial"/>
                <w:sz w:val="16"/>
                <w:szCs w:val="16"/>
                <w:color w:val="auto"/>
              </w:rPr>
              <w:t>859</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1,498</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3,697</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4,493</w:t>
            </w:r>
          </w:p>
        </w:tc>
      </w:tr>
      <w:tr>
        <w:trPr>
          <w:trHeight w:val="189"/>
        </w:trPr>
        <w:tc>
          <w:tcPr>
            <w:tcW w:w="4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Income tax effect</w:t>
            </w:r>
          </w:p>
        </w:tc>
        <w:tc>
          <w:tcPr>
            <w:tcW w:w="122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(363)</w:t>
            </w:r>
          </w:p>
        </w:tc>
        <w:tc>
          <w:tcPr>
            <w:tcW w:w="14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(386)</w:t>
            </w:r>
          </w:p>
        </w:tc>
        <w:tc>
          <w:tcPr>
            <w:tcW w:w="12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(1,089)</w:t>
            </w:r>
          </w:p>
        </w:tc>
        <w:tc>
          <w:tcPr>
            <w:tcW w:w="1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(1,160)</w:t>
            </w:r>
          </w:p>
        </w:tc>
      </w:tr>
      <w:tr>
        <w:trPr>
          <w:trHeight w:val="183"/>
        </w:trPr>
        <w:tc>
          <w:tcPr>
            <w:tcW w:w="4120" w:type="dxa"/>
            <w:vAlign w:val="bottom"/>
          </w:tcPr>
          <w:p>
            <w:pPr>
              <w:spacing w:after="0" w:line="183" w:lineRule="exact"/>
              <w:rPr>
                <w:sz w:val="20"/>
                <w:szCs w:val="20"/>
                <w:color w:val="auto"/>
              </w:rPr>
            </w:pPr>
            <w:r>
              <w:rPr>
                <w:rFonts w:ascii="Arial" w:cs="Arial" w:eastAsia="Arial" w:hAnsi="Arial"/>
                <w:sz w:val="16"/>
                <w:szCs w:val="16"/>
                <w:color w:val="auto"/>
              </w:rPr>
              <w:t>Total reclassifications, net of tax</w:t>
            </w:r>
          </w:p>
        </w:tc>
        <w:tc>
          <w:tcPr>
            <w:tcW w:w="2100" w:type="dxa"/>
            <w:vAlign w:val="bottom"/>
            <w:gridSpan w:val="2"/>
          </w:tcPr>
          <w:p>
            <w:pPr>
              <w:jc w:val="right"/>
              <w:ind w:right="699"/>
              <w:spacing w:after="0" w:line="183" w:lineRule="exact"/>
              <w:rPr>
                <w:sz w:val="20"/>
                <w:szCs w:val="20"/>
                <w:color w:val="auto"/>
              </w:rPr>
            </w:pPr>
            <w:r>
              <w:rPr>
                <w:rFonts w:ascii="Arial" w:cs="Arial" w:eastAsia="Arial" w:hAnsi="Arial"/>
                <w:sz w:val="16"/>
                <w:szCs w:val="16"/>
                <w:color w:val="auto"/>
              </w:rPr>
              <w:t>$</w:t>
            </w:r>
          </w:p>
        </w:tc>
        <w:tc>
          <w:tcPr>
            <w:tcW w:w="580" w:type="dxa"/>
            <w:vAlign w:val="bottom"/>
          </w:tcPr>
          <w:p>
            <w:pPr>
              <w:jc w:val="right"/>
              <w:ind w:right="59"/>
              <w:spacing w:after="0" w:line="183" w:lineRule="exact"/>
              <w:rPr>
                <w:sz w:val="20"/>
                <w:szCs w:val="20"/>
                <w:color w:val="auto"/>
              </w:rPr>
            </w:pPr>
            <w:r>
              <w:rPr>
                <w:rFonts w:ascii="Arial" w:cs="Arial" w:eastAsia="Arial" w:hAnsi="Arial"/>
                <w:sz w:val="16"/>
                <w:szCs w:val="16"/>
                <w:color w:val="auto"/>
              </w:rPr>
              <w:t>496</w:t>
            </w:r>
          </w:p>
        </w:tc>
        <w:tc>
          <w:tcPr>
            <w:tcW w:w="1000" w:type="dxa"/>
            <w:vAlign w:val="bottom"/>
            <w:gridSpan w:val="2"/>
          </w:tcPr>
          <w:p>
            <w:pPr>
              <w:jc w:val="right"/>
              <w:ind w:right="780"/>
              <w:spacing w:after="0" w:line="183" w:lineRule="exact"/>
              <w:rPr>
                <w:sz w:val="20"/>
                <w:szCs w:val="20"/>
                <w:color w:val="auto"/>
              </w:rPr>
            </w:pPr>
            <w:r>
              <w:rPr>
                <w:rFonts w:ascii="Arial" w:cs="Arial" w:eastAsia="Arial" w:hAnsi="Arial"/>
                <w:sz w:val="16"/>
                <w:szCs w:val="16"/>
                <w:color w:val="auto"/>
              </w:rPr>
              <w:t>$</w:t>
            </w:r>
          </w:p>
        </w:tc>
        <w:tc>
          <w:tcPr>
            <w:tcW w:w="5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1,112</w:t>
            </w:r>
          </w:p>
        </w:tc>
        <w:tc>
          <w:tcPr>
            <w:tcW w:w="940" w:type="dxa"/>
            <w:vAlign w:val="bottom"/>
            <w:gridSpan w:val="2"/>
          </w:tcPr>
          <w:p>
            <w:pPr>
              <w:jc w:val="right"/>
              <w:ind w:right="659"/>
              <w:spacing w:after="0" w:line="183" w:lineRule="exact"/>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2,608</w:t>
            </w:r>
          </w:p>
        </w:tc>
        <w:tc>
          <w:tcPr>
            <w:tcW w:w="360" w:type="dxa"/>
            <w:vAlign w:val="bottom"/>
            <w:gridSpan w:val="2"/>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3,333</w:t>
            </w:r>
          </w:p>
        </w:tc>
      </w:tr>
      <w:tr>
        <w:trPr>
          <w:trHeight w:val="20"/>
        </w:trPr>
        <w:tc>
          <w:tcPr>
            <w:tcW w:w="412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789"/>
        </w:trPr>
        <w:tc>
          <w:tcPr>
            <w:tcW w:w="4120" w:type="dxa"/>
            <w:vAlign w:val="bottom"/>
          </w:tcPr>
          <w:p>
            <w:pPr>
              <w:spacing w:after="0"/>
              <w:rPr>
                <w:sz w:val="24"/>
                <w:szCs w:val="24"/>
                <w:color w:val="auto"/>
              </w:rPr>
            </w:pPr>
          </w:p>
        </w:tc>
        <w:tc>
          <w:tcPr>
            <w:tcW w:w="2100" w:type="dxa"/>
            <w:vAlign w:val="bottom"/>
            <w:gridSpan w:val="2"/>
          </w:tcPr>
          <w:p>
            <w:pPr>
              <w:jc w:val="right"/>
              <w:ind w:right="419"/>
              <w:spacing w:after="0"/>
              <w:rPr>
                <w:sz w:val="20"/>
                <w:szCs w:val="20"/>
                <w:color w:val="auto"/>
              </w:rPr>
            </w:pPr>
            <w:r>
              <w:rPr>
                <w:rFonts w:ascii="Arial" w:cs="Arial" w:eastAsia="Arial" w:hAnsi="Arial"/>
                <w:sz w:val="16"/>
                <w:szCs w:val="16"/>
                <w:color w:val="auto"/>
              </w:rPr>
              <w:t>15</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46"/>
        </w:trPr>
        <w:tc>
          <w:tcPr>
            <w:tcW w:w="4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-1148080</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-1148080</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-1148080</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-899795</wp:posOffset>
            </wp:positionV>
            <wp:extent cx="857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-899795</wp:posOffset>
            </wp:positionV>
            <wp:extent cx="768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-899795</wp:posOffset>
            </wp:positionV>
            <wp:extent cx="774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3"/>
        </w:trPr>
        <w:tc>
          <w:tcPr>
            <w:tcW w:w="5920" w:type="dxa"/>
            <w:vAlign w:val="bottom"/>
          </w:tcPr>
          <w:p>
            <w:pPr>
              <w:spacing w:after="0"/>
              <w:rPr>
                <w:sz w:val="20"/>
                <w:szCs w:val="20"/>
                <w:color w:val="auto"/>
              </w:rPr>
            </w:pPr>
            <w:r>
              <w:rPr>
                <w:rFonts w:ascii="Arial" w:cs="Arial" w:eastAsia="Arial" w:hAnsi="Arial"/>
                <w:sz w:val="16"/>
                <w:szCs w:val="16"/>
                <w:b w:val="1"/>
                <w:bCs w:val="1"/>
                <w:color w:val="auto"/>
              </w:rPr>
              <w:t>NOTE 7 – Earnings per share</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70"/>
        </w:trPr>
        <w:tc>
          <w:tcPr>
            <w:tcW w:w="8260" w:type="dxa"/>
            <w:vAlign w:val="bottom"/>
            <w:gridSpan w:val="6"/>
          </w:tcPr>
          <w:p>
            <w:pPr>
              <w:ind w:left="380"/>
              <w:spacing w:after="0"/>
              <w:rPr>
                <w:sz w:val="20"/>
                <w:szCs w:val="20"/>
                <w:color w:val="auto"/>
              </w:rPr>
            </w:pPr>
            <w:r>
              <w:rPr>
                <w:rFonts w:ascii="Arial" w:cs="Arial" w:eastAsia="Arial" w:hAnsi="Arial"/>
                <w:sz w:val="16"/>
                <w:szCs w:val="16"/>
                <w:color w:val="auto"/>
              </w:rPr>
              <w:t>Our earnings per share (basic and diluted) are presented below (in thousands, except per share amounts):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67"/>
        </w:trPr>
        <w:tc>
          <w:tcPr>
            <w:tcW w:w="59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Quarter ended Sept. 30,</w:t>
            </w: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Nine months ended Sept. 30,</w:t>
            </w:r>
          </w:p>
        </w:tc>
      </w:tr>
      <w:tr>
        <w:trPr>
          <w:trHeight w:val="183"/>
        </w:trPr>
        <w:tc>
          <w:tcPr>
            <w:tcW w:w="59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9"/>
              <w:spacing w:after="0" w:line="183" w:lineRule="exact"/>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9"/>
              <w:spacing w:after="0" w:line="183" w:lineRule="exact"/>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79"/>
              <w:spacing w:after="0" w:line="183" w:lineRule="exact"/>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b w:val="1"/>
                <w:bCs w:val="1"/>
                <w:color w:val="auto"/>
              </w:rPr>
              <w:t>2024</w:t>
            </w:r>
          </w:p>
        </w:tc>
      </w:tr>
      <w:tr>
        <w:trPr>
          <w:trHeight w:val="183"/>
        </w:trPr>
        <w:tc>
          <w:tcPr>
            <w:tcW w:w="5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9"/>
        </w:trPr>
        <w:tc>
          <w:tcPr>
            <w:tcW w:w="592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37,116</w:t>
            </w: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147,188</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163,325</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418,479</w:t>
            </w:r>
          </w:p>
        </w:tc>
      </w:tr>
      <w:tr>
        <w:trPr>
          <w:trHeight w:val="189"/>
        </w:trPr>
        <w:tc>
          <w:tcPr>
            <w:tcW w:w="5920" w:type="dxa"/>
            <w:vAlign w:val="bottom"/>
          </w:tcPr>
          <w:p>
            <w:pPr>
              <w:spacing w:after="0"/>
              <w:rPr>
                <w:sz w:val="20"/>
                <w:szCs w:val="20"/>
                <w:color w:val="auto"/>
              </w:rPr>
            </w:pPr>
            <w:r>
              <w:rPr>
                <w:rFonts w:ascii="Arial" w:cs="Arial" w:eastAsia="Arial" w:hAnsi="Arial"/>
                <w:sz w:val="16"/>
                <w:szCs w:val="16"/>
                <w:color w:val="auto"/>
              </w:rPr>
              <w:t>Net loss attributable to the noncontrolling interest</w:t>
            </w:r>
          </w:p>
        </w:tc>
        <w:tc>
          <w:tcPr>
            <w:tcW w:w="14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260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384</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673</w:t>
            </w:r>
          </w:p>
        </w:tc>
      </w:tr>
      <w:tr>
        <w:trPr>
          <w:trHeight w:val="189"/>
        </w:trPr>
        <w:tc>
          <w:tcPr>
            <w:tcW w:w="59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Adjustment of redeemable noncontrolling interest to redemption value</w:t>
            </w:r>
          </w:p>
        </w:tc>
        <w:tc>
          <w:tcPr>
            <w:tcW w:w="14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(641)</w:t>
            </w:r>
          </w:p>
        </w:tc>
        <w:tc>
          <w:tcPr>
            <w:tcW w:w="1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(912)</w:t>
            </w:r>
          </w:p>
        </w:tc>
        <w:tc>
          <w:tcPr>
            <w:tcW w:w="1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(1,797)</w:t>
            </w:r>
          </w:p>
        </w:tc>
      </w:tr>
      <w:tr>
        <w:trPr>
          <w:trHeight w:val="183"/>
        </w:trPr>
        <w:tc>
          <w:tcPr>
            <w:tcW w:w="5920" w:type="dxa"/>
            <w:vAlign w:val="bottom"/>
          </w:tcPr>
          <w:p>
            <w:pPr>
              <w:spacing w:after="0" w:line="183" w:lineRule="exact"/>
              <w:rPr>
                <w:sz w:val="20"/>
                <w:szCs w:val="20"/>
                <w:color w:val="auto"/>
              </w:rPr>
            </w:pPr>
            <w:r>
              <w:rPr>
                <w:rFonts w:ascii="Arial" w:cs="Arial" w:eastAsia="Arial" w:hAnsi="Arial"/>
                <w:sz w:val="16"/>
                <w:szCs w:val="16"/>
                <w:color w:val="auto"/>
              </w:rPr>
              <w:t>Earnings available to common shareholders</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Pr>
          <w:p>
            <w:pPr>
              <w:jc w:val="right"/>
              <w:ind w:right="59"/>
              <w:spacing w:after="0" w:line="183" w:lineRule="exact"/>
              <w:rPr>
                <w:sz w:val="20"/>
                <w:szCs w:val="20"/>
                <w:color w:val="auto"/>
              </w:rPr>
            </w:pPr>
            <w:r>
              <w:rPr>
                <w:rFonts w:ascii="Arial" w:cs="Arial" w:eastAsia="Arial" w:hAnsi="Arial"/>
                <w:sz w:val="16"/>
                <w:szCs w:val="16"/>
                <w:color w:val="auto"/>
              </w:rPr>
              <w:t>37,116</w:t>
            </w:r>
          </w:p>
        </w:tc>
        <w:tc>
          <w:tcPr>
            <w:tcW w:w="34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146,807</w:t>
            </w:r>
          </w:p>
        </w:tc>
        <w:tc>
          <w:tcPr>
            <w:tcW w:w="32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162,797</w:t>
            </w:r>
          </w:p>
        </w:tc>
        <w:tc>
          <w:tcPr>
            <w:tcW w:w="40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417,355</w:t>
            </w:r>
          </w:p>
        </w:tc>
      </w:tr>
      <w:tr>
        <w:trPr>
          <w:trHeight w:val="20"/>
        </w:trPr>
        <w:tc>
          <w:tcPr>
            <w:tcW w:w="5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5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r>
      <w:tr>
        <w:trPr>
          <w:trHeight w:val="189"/>
        </w:trPr>
        <w:tc>
          <w:tcPr>
            <w:tcW w:w="5920" w:type="dxa"/>
            <w:vAlign w:val="bottom"/>
          </w:tcPr>
          <w:p>
            <w:pPr>
              <w:spacing w:after="0"/>
              <w:rPr>
                <w:sz w:val="20"/>
                <w:szCs w:val="20"/>
                <w:color w:val="auto"/>
              </w:rPr>
            </w:pPr>
            <w:r>
              <w:rPr>
                <w:rFonts w:ascii="Arial" w:cs="Arial" w:eastAsia="Arial" w:hAnsi="Arial"/>
                <w:sz w:val="16"/>
                <w:szCs w:val="16"/>
                <w:color w:val="auto"/>
              </w:rPr>
              <w:t>Weighted average number of common shares outstanding - basic</w:t>
            </w:r>
          </w:p>
        </w:tc>
        <w:tc>
          <w:tcPr>
            <w:tcW w:w="14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161,606</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165,188</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161,312</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170,820</w:t>
            </w:r>
          </w:p>
        </w:tc>
      </w:tr>
      <w:tr>
        <w:trPr>
          <w:trHeight w:val="189"/>
        </w:trPr>
        <w:tc>
          <w:tcPr>
            <w:tcW w:w="592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Effect of dilutive securities:</w:t>
            </w:r>
          </w:p>
        </w:tc>
        <w:tc>
          <w:tcPr>
            <w:tcW w:w="1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r>
      <w:tr>
        <w:trPr>
          <w:trHeight w:val="189"/>
        </w:trPr>
        <w:tc>
          <w:tcPr>
            <w:tcW w:w="5920" w:type="dxa"/>
            <w:vAlign w:val="bottom"/>
          </w:tcPr>
          <w:p>
            <w:pPr>
              <w:ind w:left="120"/>
              <w:spacing w:after="0"/>
              <w:rPr>
                <w:sz w:val="20"/>
                <w:szCs w:val="20"/>
                <w:color w:val="auto"/>
              </w:rPr>
            </w:pPr>
            <w:r>
              <w:rPr>
                <w:rFonts w:ascii="Arial" w:cs="Arial" w:eastAsia="Arial" w:hAnsi="Arial"/>
                <w:sz w:val="16"/>
                <w:szCs w:val="16"/>
                <w:color w:val="auto"/>
              </w:rPr>
              <w:t>Restricted stock units</w:t>
            </w:r>
          </w:p>
        </w:tc>
        <w:tc>
          <w:tcPr>
            <w:tcW w:w="14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755</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447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730</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378</w:t>
            </w:r>
          </w:p>
        </w:tc>
      </w:tr>
      <w:tr>
        <w:trPr>
          <w:trHeight w:val="189"/>
        </w:trPr>
        <w:tc>
          <w:tcPr>
            <w:tcW w:w="59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Performance share awards</w:t>
            </w:r>
          </w:p>
        </w:tc>
        <w:tc>
          <w:tcPr>
            <w:tcW w:w="1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126</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113</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142</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136</w:t>
            </w:r>
          </w:p>
        </w:tc>
      </w:tr>
      <w:tr>
        <w:trPr>
          <w:trHeight w:val="189"/>
        </w:trPr>
        <w:tc>
          <w:tcPr>
            <w:tcW w:w="59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401(k) match shares</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560</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362</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23"/>
        </w:trPr>
        <w:tc>
          <w:tcPr>
            <w:tcW w:w="592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Weighted average number of common shares outstanding - diluted</w:t>
            </w: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163,047</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165,748</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162,546</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171,334</w:t>
            </w:r>
          </w:p>
        </w:tc>
      </w:tr>
      <w:tr>
        <w:trPr>
          <w:trHeight w:val="169"/>
        </w:trPr>
        <w:tc>
          <w:tcPr>
            <w:tcW w:w="5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9"/>
        </w:trPr>
        <w:tc>
          <w:tcPr>
            <w:tcW w:w="5920" w:type="dxa"/>
            <w:vAlign w:val="bottom"/>
            <w:shd w:val="clear" w:color="auto" w:fill="CFF0FC"/>
          </w:tcPr>
          <w:p>
            <w:pPr>
              <w:spacing w:after="0"/>
              <w:rPr>
                <w:sz w:val="20"/>
                <w:szCs w:val="20"/>
                <w:color w:val="auto"/>
              </w:rPr>
            </w:pPr>
            <w:r>
              <w:rPr>
                <w:rFonts w:ascii="Arial" w:cs="Arial" w:eastAsia="Arial" w:hAnsi="Arial"/>
                <w:sz w:val="16"/>
                <w:szCs w:val="16"/>
                <w:color w:val="auto"/>
              </w:rPr>
              <w:t>Net income per share - basic</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0.23</w:t>
            </w: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0.89</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1.01</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2.44</w:t>
            </w:r>
          </w:p>
        </w:tc>
      </w:tr>
      <w:tr>
        <w:trPr>
          <w:trHeight w:val="215"/>
        </w:trPr>
        <w:tc>
          <w:tcPr>
            <w:tcW w:w="5920" w:type="dxa"/>
            <w:vAlign w:val="bottom"/>
          </w:tcPr>
          <w:p>
            <w:pPr>
              <w:spacing w:after="0"/>
              <w:rPr>
                <w:sz w:val="20"/>
                <w:szCs w:val="20"/>
                <w:color w:val="auto"/>
              </w:rPr>
            </w:pPr>
            <w:r>
              <w:rPr>
                <w:rFonts w:ascii="Arial" w:cs="Arial" w:eastAsia="Arial" w:hAnsi="Arial"/>
                <w:sz w:val="16"/>
                <w:szCs w:val="16"/>
                <w:color w:val="auto"/>
              </w:rPr>
              <w:t>Net income per share - diluted</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0.23</w:t>
            </w:r>
          </w:p>
        </w:tc>
        <w:tc>
          <w:tcPr>
            <w:tcW w:w="3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0.89</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-1404620</wp:posOffset>
            </wp:positionV>
            <wp:extent cx="1028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-1404620</wp:posOffset>
            </wp:positionV>
            <wp:extent cx="946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-1404620</wp:posOffset>
            </wp:positionV>
            <wp:extent cx="946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-401320</wp:posOffset>
            </wp:positionV>
            <wp:extent cx="1028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-384175</wp:posOffset>
            </wp:positionV>
            <wp:extent cx="1028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-401320</wp:posOffset>
            </wp:positionV>
            <wp:extent cx="946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-384175</wp:posOffset>
            </wp:positionV>
            <wp:extent cx="9461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-401320</wp:posOffset>
            </wp:positionV>
            <wp:extent cx="946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-384175</wp:posOffset>
            </wp:positionV>
            <wp:extent cx="9461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129" w:lineRule="exact"/>
        <w:rPr>
          <w:sz w:val="20"/>
          <w:szCs w:val="20"/>
          <w:color w:val="auto"/>
        </w:rPr>
      </w:pPr>
    </w:p>
    <w:p>
      <w:pPr>
        <w:ind w:right="200" w:firstLine="374"/>
        <w:spacing w:after="0" w:line="256" w:lineRule="auto"/>
        <w:rPr>
          <w:sz w:val="20"/>
          <w:szCs w:val="20"/>
          <w:color w:val="auto"/>
        </w:rPr>
      </w:pPr>
      <w:r>
        <w:rPr>
          <w:rFonts w:ascii="Arial" w:cs="Arial" w:eastAsia="Arial" w:hAnsi="Arial"/>
          <w:sz w:val="16"/>
          <w:szCs w:val="16"/>
          <w:color w:val="auto"/>
        </w:rPr>
        <w:t>Historically, we made matching contributions to eligible employees participating in our 401(k) plan on a bi-weekly basis. We amended the 401(k) plan as of January 2025 so that, going forward, we will make annual matching contributions to eligible employees in the first quarter of the following year, meaning that matching contributions earned in 2025 will be made to eligible employees in the first quarter of 2026. We will continue to make the matching contribution in the form of TEGNA shares. We have included the dilutive impact of the 401(k) match that has been earned, but not yet contributed, in the dilutive shares calculation above.</w:t>
      </w:r>
    </w:p>
    <w:p>
      <w:pPr>
        <w:spacing w:after="0" w:line="153" w:lineRule="exact"/>
        <w:rPr>
          <w:sz w:val="20"/>
          <w:szCs w:val="20"/>
          <w:color w:val="auto"/>
        </w:rPr>
      </w:pPr>
    </w:p>
    <w:p>
      <w:pPr>
        <w:ind w:right="80" w:firstLine="374"/>
        <w:spacing w:after="0" w:line="259" w:lineRule="auto"/>
        <w:rPr>
          <w:sz w:val="20"/>
          <w:szCs w:val="20"/>
          <w:color w:val="auto"/>
        </w:rPr>
      </w:pPr>
      <w:r>
        <w:rPr>
          <w:rFonts w:ascii="Arial" w:cs="Arial" w:eastAsia="Arial" w:hAnsi="Arial"/>
          <w:sz w:val="16"/>
          <w:szCs w:val="16"/>
          <w:color w:val="auto"/>
        </w:rPr>
        <w:t>Our calculation of diluted earnings per share includes the dilutive effects for the assumed vesting of outstanding restricted stock units and performance share awards. The diluted earnings per share amounts exclude the effects of approximately 10 thousand and 40 thousand stock awards for the three and nine months ended September 30, 2025, respectively, and approximately 160 thousand and 360 thousand stock awards for the three and nine months ended September 30, 2024, respectively, as their inclusion would be accretive to earnings per share.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 Fair value measurement</w:t>
      </w:r>
    </w:p>
    <w:p>
      <w:pPr>
        <w:spacing w:after="0" w:line="194" w:lineRule="exact"/>
        <w:rPr>
          <w:sz w:val="20"/>
          <w:szCs w:val="20"/>
          <w:color w:val="auto"/>
        </w:rPr>
      </w:pPr>
    </w:p>
    <w:p>
      <w:pPr>
        <w:ind w:right="200" w:firstLine="374"/>
        <w:spacing w:after="0" w:line="266" w:lineRule="auto"/>
        <w:rPr>
          <w:sz w:val="20"/>
          <w:szCs w:val="20"/>
          <w:color w:val="auto"/>
        </w:rPr>
      </w:pPr>
      <w:r>
        <w:rPr>
          <w:rFonts w:ascii="Arial" w:cs="Arial" w:eastAsia="Arial" w:hAnsi="Arial"/>
          <w:sz w:val="16"/>
          <w:szCs w:val="16"/>
          <w:color w:val="auto"/>
        </w:rPr>
        <w:t>We measure and record certain assets and liabilities at fair value in the accompanying condensed consolidated financial statements. U.S. GAAP establishes a hierarchy for those instruments measured at fair value that distinguishes between market data (observable inputs) and our own assumptions (unobservable inputs). The hierarchy consists of three levels:</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Level 1 – Quoted market prices in active markets for identical assets or liabilities;</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Level 2 – Inputs other than Level 1 inputs that are either directly or indirectly observable; and</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Level 3 – Unobservable inputs developed using our own estimates and assumptions, which reflect those that a market participant would use.</w:t>
      </w:r>
    </w:p>
    <w:p>
      <w:pPr>
        <w:spacing w:after="0" w:line="194" w:lineRule="exact"/>
        <w:rPr>
          <w:sz w:val="20"/>
          <w:szCs w:val="20"/>
          <w:color w:val="auto"/>
        </w:rPr>
      </w:pPr>
    </w:p>
    <w:p>
      <w:pPr>
        <w:jc w:val="both"/>
        <w:ind w:right="140" w:firstLine="374"/>
        <w:spacing w:after="0" w:line="259" w:lineRule="auto"/>
        <w:rPr>
          <w:sz w:val="20"/>
          <w:szCs w:val="20"/>
          <w:color w:val="auto"/>
        </w:rPr>
      </w:pPr>
      <w:r>
        <w:rPr>
          <w:rFonts w:ascii="Arial" w:cs="Arial" w:eastAsia="Arial" w:hAnsi="Arial"/>
          <w:sz w:val="16"/>
          <w:szCs w:val="16"/>
          <w:color w:val="auto"/>
        </w:rPr>
        <w:t>We also hold other financial instruments, including cash and cash equivalents, receivables, accounts payable, contingent consideration and debt. The carrying amounts for cash and cash equivalents, receivables and accounts payable approximate their fair values. The fair value of our total debt, based on the bid and ask quotes for the related debt (Level 2), totaled $2.54 billion on September 30, 2025 and $2.98 billion on December 31, 2024. The decrease is primarily due to the early repayment of the $550 million unsecured notes that were scheduled to mature in March 2026.</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 Share repurchase program</w:t>
      </w:r>
    </w:p>
    <w:p>
      <w:pPr>
        <w:spacing w:after="0" w:line="194" w:lineRule="exact"/>
        <w:rPr>
          <w:sz w:val="20"/>
          <w:szCs w:val="20"/>
          <w:color w:val="auto"/>
        </w:rPr>
      </w:pPr>
    </w:p>
    <w:p>
      <w:pPr>
        <w:ind w:right="220" w:firstLine="374"/>
        <w:spacing w:after="0" w:line="256" w:lineRule="auto"/>
        <w:rPr>
          <w:sz w:val="20"/>
          <w:szCs w:val="20"/>
          <w:color w:val="auto"/>
        </w:rPr>
      </w:pPr>
      <w:r>
        <w:rPr>
          <w:rFonts w:ascii="Arial" w:cs="Arial" w:eastAsia="Arial" w:hAnsi="Arial"/>
          <w:sz w:val="16"/>
          <w:szCs w:val="16"/>
          <w:color w:val="auto"/>
        </w:rPr>
        <w:t>On November 9, 2023, we entered into an accelerated share repurchase (the ASR) program with JPMorgan. Under the terms of the ASR, we repurchased $325 million in TEGNA common stock from JPMorgan, with an initial delivery of approximately 17.3 million shares received on November 13, 2023, representing 80% ($260 million) of the value of the ASR contract. The ASR program was completed on February 22, 2024, shortly after which date JPMorgan delivered an additional 4.0 million shares to us. The final share settlement was based on the average daily volume-weighted average price of TEGNA shares during the term of the ASR program, less a discount, less the previously delivered 17.3 million shares.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6" w:name="page17"/>
    <w:bookmarkEnd w:id="16"/>
    <w:p>
      <w:pPr>
        <w:ind w:left="380"/>
        <w:spacing w:after="0"/>
        <w:rPr>
          <w:sz w:val="20"/>
          <w:szCs w:val="20"/>
          <w:color w:val="auto"/>
        </w:rPr>
      </w:pPr>
      <w:r>
        <w:rPr>
          <w:rFonts w:ascii="Arial" w:cs="Arial" w:eastAsia="Arial" w:hAnsi="Arial"/>
          <w:sz w:val="16"/>
          <w:szCs w:val="16"/>
          <w:color w:val="auto"/>
        </w:rPr>
        <w:t>In December 2023, our Board of Directors authorized a new share repurchase program for up to $650.0 million of our common stock, which was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addition to the ASR program. This share repurchase program expires on December 31, 2025. No repurchases were made under this program in the first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nine months of 2025. In the third quarter of 2024, 4.8 million shares were repurchased under this program at an average share price of $14.51 for 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aggregate cost of $70.1 million. In the first nine months of 2024, 15.7 million shares were repurchased under this program at an average share price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$14.36 for an aggregate cost of $226.0 million. Of the shares repurchased in 2024, $1.0 million had not yet been paid for as of the end of the third quarter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2024. Under the terms of the Merger Agreement, TEGNA is not permitted to repurchase its common stock during the pendency of the Merger.</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 Other matters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u w:val="single" w:color="auto"/>
          <w:color w:val="auto"/>
        </w:rPr>
        <w:t>Litigation Relating to the Merger</w:t>
      </w:r>
    </w:p>
    <w:p>
      <w:pPr>
        <w:spacing w:after="0" w:line="194" w:lineRule="exact"/>
        <w:rPr>
          <w:sz w:val="20"/>
          <w:szCs w:val="20"/>
          <w:color w:val="auto"/>
        </w:rPr>
      </w:pPr>
    </w:p>
    <w:p>
      <w:pPr>
        <w:ind w:right="20" w:firstLine="374"/>
        <w:spacing w:after="0" w:line="250" w:lineRule="auto"/>
        <w:rPr>
          <w:sz w:val="20"/>
          <w:szCs w:val="20"/>
          <w:color w:val="auto"/>
        </w:rPr>
      </w:pPr>
      <w:r>
        <w:rPr>
          <w:rFonts w:ascii="Arial" w:cs="Arial" w:eastAsia="Arial" w:hAnsi="Arial"/>
          <w:sz w:val="16"/>
          <w:szCs w:val="16"/>
          <w:color w:val="auto"/>
        </w:rPr>
        <w:t>As of November 10, 2025, three complaints have been filed by purported stockholders of TEGNA in connection with the Merger: Faul v. TEGNA Inc., et al., No. 25-cv-12161 (filed in the U.S. District Court for the Northern District of Illinois on October 3, 2025), Cohen v. TEGNA Inc., et al., Index No. 659416/2025 (filed in New York County on October 28, 2025), and Brady v. TEGNA Inc., et. al., Index No. 659438/2025 (filed in New York County on October 29, 2025). The complaints generally allege that the preliminary proxy statement filed by TEGNA on September 17, 2025 in connection with the Merger (the “Preliminary Proxy Statement”) or the definitive proxy statement filed by TEGNA on October 10, 2025 in connection with the Merger (the “Definitive Proxy Statement”) include false and misleading information and/or fail to disclose allegedly material information in violation of federal or state law. The complaints seek, among other things, to enjoin TEGNA from consummating the Merger, or in the alternative, rescission of the Merger and/or compensatory damages, as well as attorneys’ and expert fees. In addition to these complaints, TEGNA has received demand letters from counsel representing purported stockholders of TEGNA, alleging similar deficiencies and/or omissions in the Preliminary Proxy Statement or the Definitive Proxy Statement. TEGNA believes that the allegations in these actions are without merit. Additional complaints arising out of the Merger may be filed in the future, and additional demand letters arising out of the Merger may be received in the future.</w:t>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16"/>
          <w:szCs w:val="16"/>
          <w:u w:val="single" w:color="auto"/>
          <w:color w:val="auto"/>
        </w:rPr>
        <w:t>Antitrust matters</w:t>
      </w:r>
    </w:p>
    <w:p>
      <w:pPr>
        <w:spacing w:after="0" w:line="194" w:lineRule="exact"/>
        <w:rPr>
          <w:sz w:val="20"/>
          <w:szCs w:val="20"/>
          <w:color w:val="auto"/>
        </w:rPr>
      </w:pPr>
    </w:p>
    <w:p>
      <w:pPr>
        <w:ind w:firstLine="374"/>
        <w:spacing w:after="0" w:line="251" w:lineRule="auto"/>
        <w:rPr>
          <w:sz w:val="20"/>
          <w:szCs w:val="20"/>
          <w:color w:val="auto"/>
        </w:rPr>
      </w:pPr>
      <w:r>
        <w:rPr>
          <w:rFonts w:ascii="Arial" w:cs="Arial" w:eastAsia="Arial" w:hAnsi="Arial"/>
          <w:sz w:val="16"/>
          <w:szCs w:val="16"/>
          <w:color w:val="auto"/>
        </w:rPr>
        <w:t>In the third quarter of 2018, certain national media outlets reported the existence of a confidential investigation by the United States Department of Justice Antitrust Division (DOJ) into the local television advertising sales practices of station owners. We received a Civil Investigative Demand (CID) in connection with the DOJ’s investigation. On November 13 and December 13, 2018, the DOJ and seven other broadcasters settled a DOJ complaint alleging the exchange of certain competitively sensitive information in the broadcast television industry. In June 2019, we and four other broadcasters entered into a substantially identical agreement with DOJ, which was entered by the court on December 3, 2019. The settlement contains no finding of wrongdoing or liability and carries no penalty. It prohibits us and the other settling entities from sharing certain confidential business information as alleged by the DOJ, or using such information pertaining to other broadcasters, except under limited circumstances. The settlement also requires the settling parties to make certain enhancements to their antitrust compliance programs, to continue to cooperate with the DOJ’s investigation, and to permit DOJ to verify compliance. The costs of compliance have not been material, nor do we expect future compliance costs to be material.</w:t>
      </w:r>
    </w:p>
    <w:p>
      <w:pPr>
        <w:spacing w:after="0" w:line="158" w:lineRule="exact"/>
        <w:rPr>
          <w:sz w:val="20"/>
          <w:szCs w:val="20"/>
          <w:color w:val="auto"/>
        </w:rPr>
      </w:pPr>
    </w:p>
    <w:p>
      <w:pPr>
        <w:jc w:val="both"/>
        <w:ind w:right="200" w:firstLine="374"/>
        <w:spacing w:after="0" w:line="259" w:lineRule="auto"/>
        <w:rPr>
          <w:sz w:val="20"/>
          <w:szCs w:val="20"/>
          <w:color w:val="auto"/>
        </w:rPr>
      </w:pPr>
      <w:r>
        <w:rPr>
          <w:rFonts w:ascii="Arial" w:cs="Arial" w:eastAsia="Arial" w:hAnsi="Arial"/>
          <w:sz w:val="16"/>
          <w:szCs w:val="16"/>
          <w:color w:val="auto"/>
        </w:rPr>
        <w:t>Since the national media reports, numerous putative class action lawsuits were filed against owners of television stations (the Advertising Cases) in different jurisdictions. Plaintiffs are a putative class consisting of all persons and entities in the United States who paid for all or a portion of advertisement time on local television provided by the defendants. The Advertising Cases assert antitrust and other claims and seek monetary damages, attorneys’ fees, costs and interest, as well as injunctions against the allegedly wrongful conduct.</w:t>
      </w:r>
    </w:p>
    <w:p>
      <w:pPr>
        <w:spacing w:after="0" w:line="151" w:lineRule="exact"/>
        <w:rPr>
          <w:sz w:val="20"/>
          <w:szCs w:val="20"/>
          <w:color w:val="auto"/>
        </w:rPr>
      </w:pPr>
    </w:p>
    <w:p>
      <w:pPr>
        <w:ind w:right="80" w:firstLine="374"/>
        <w:spacing w:after="0" w:line="251" w:lineRule="auto"/>
        <w:rPr>
          <w:sz w:val="20"/>
          <w:szCs w:val="20"/>
          <w:color w:val="auto"/>
        </w:rPr>
      </w:pPr>
      <w:r>
        <w:rPr>
          <w:rFonts w:ascii="Arial" w:cs="Arial" w:eastAsia="Arial" w:hAnsi="Arial"/>
          <w:sz w:val="16"/>
          <w:szCs w:val="16"/>
          <w:color w:val="auto"/>
        </w:rPr>
        <w:t>These cases were consolidated into a single proceeding in the United States District Court for the Northern District of Illinois, captioned In re: Local TV Advertising Antitrust Litigation on October 3, 2018. At the court’s direction, plaintiffs filed an amended complaint on April 3, 2019, that superseded the original complaints. Although we were named as a defendant in sixteen of the original complaints, the amended complaint did not name TEGNA as a defendant. After TEGNA and four other broadcasters entered into the consent decrees with the DOJ in June 2019, the plaintiffs sought leave from the court to further amend the complaint to add TEGNA and the other settling broadcasters to the proceeding. The court granted the plaintiffs’ motion, and the plaintiffs filed the second amended complaint on September 9, 2019. On October 8, 2019, the defendants jointly filed a motion to dismiss the matter. On November 6, 2020, the court denied the motion to dismiss. On March 16, 2022, the plaintiffs filed a third amended complaint, which, among other things, added ShareBuilders, Inc., as a named defendant. ShareBuilders filed a motion to dismiss on April 15, 2022, which was granted by the court without prejudice on August 29, 2022. TEGNA has filed its answer to the third amended complaint denying any violation of law and asserting various affirmative defenses.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17" w:name="page18"/>
    <w:bookmarkEnd w:id="17"/>
    <w:p>
      <w:pPr>
        <w:ind w:right="60" w:firstLine="374"/>
        <w:spacing w:after="0" w:line="254" w:lineRule="auto"/>
        <w:rPr>
          <w:sz w:val="20"/>
          <w:szCs w:val="20"/>
          <w:color w:val="auto"/>
        </w:rPr>
      </w:pPr>
      <w:r>
        <w:rPr>
          <w:rFonts w:ascii="Arial" w:cs="Arial" w:eastAsia="Arial" w:hAnsi="Arial"/>
          <w:sz w:val="16"/>
          <w:szCs w:val="16"/>
          <w:color w:val="auto"/>
        </w:rPr>
        <w:t>On May 26, 2023, plaintiffs moved for preliminary approval of settlements with four co-defendants – CBS Corp (n/k/a Paramount Global), Fox Corp., certain Cox entities (including Cox Media Group, LLC, Cox Enterprises, Inc., CMG Media Corporation and Cox Reps, Inc.) and ShareBuilders, Inc. Although ShareBuilders prevailed on its motion to dismiss the case, as noted above, because the court had dismissed the claims without prejudice, ShareBuilders entered into a zero-dollar settlement with the plaintiffs in order to ensure that the plaintiffs do not re-file the claims in the future. In exchange for a release of plaintiffs’ claims against them, the settling defendants, among other things, collectively agreed to pay $48 million, while expressly denying any liability or wrongdoing. The court approved the settlements in December 2023.</w:t>
      </w:r>
    </w:p>
    <w:p>
      <w:pPr>
        <w:spacing w:after="0" w:line="155" w:lineRule="exact"/>
        <w:rPr>
          <w:sz w:val="20"/>
          <w:szCs w:val="20"/>
          <w:color w:val="auto"/>
        </w:rPr>
      </w:pPr>
    </w:p>
    <w:p>
      <w:pPr>
        <w:ind w:right="520" w:firstLine="374"/>
        <w:spacing w:after="0" w:line="286" w:lineRule="auto"/>
        <w:rPr>
          <w:sz w:val="20"/>
          <w:szCs w:val="20"/>
          <w:color w:val="auto"/>
        </w:rPr>
      </w:pPr>
      <w:r>
        <w:rPr>
          <w:rFonts w:ascii="Arial" w:cs="Arial" w:eastAsia="Arial" w:hAnsi="Arial"/>
          <w:sz w:val="16"/>
          <w:szCs w:val="16"/>
          <w:color w:val="auto"/>
        </w:rPr>
        <w:t>Discovery in the Advertising Cases is ongoing. We believe that the claims asserted in the Advertising Cases are without merit and are defending vigorously against them.</w:t>
      </w:r>
    </w:p>
    <w:p>
      <w:pPr>
        <w:spacing w:after="0" w:line="129" w:lineRule="exact"/>
        <w:rPr>
          <w:sz w:val="20"/>
          <w:szCs w:val="20"/>
          <w:color w:val="auto"/>
        </w:rPr>
      </w:pPr>
    </w:p>
    <w:p>
      <w:pPr>
        <w:ind w:left="380"/>
        <w:spacing w:after="0"/>
        <w:rPr>
          <w:sz w:val="20"/>
          <w:szCs w:val="20"/>
          <w:color w:val="auto"/>
        </w:rPr>
      </w:pPr>
      <w:r>
        <w:rPr>
          <w:rFonts w:ascii="Arial" w:cs="Arial" w:eastAsia="Arial" w:hAnsi="Arial"/>
          <w:sz w:val="16"/>
          <w:szCs w:val="16"/>
          <w:u w:val="single" w:color="auto"/>
          <w:color w:val="auto"/>
        </w:rPr>
        <w:t>Other litigation matters</w:t>
      </w:r>
    </w:p>
    <w:p>
      <w:pPr>
        <w:spacing w:after="0" w:line="194" w:lineRule="exact"/>
        <w:rPr>
          <w:sz w:val="20"/>
          <w:szCs w:val="20"/>
          <w:color w:val="auto"/>
        </w:rPr>
      </w:pPr>
    </w:p>
    <w:p>
      <w:pPr>
        <w:ind w:right="320" w:firstLine="374"/>
        <w:spacing w:after="0" w:line="286" w:lineRule="auto"/>
        <w:rPr>
          <w:sz w:val="20"/>
          <w:szCs w:val="20"/>
          <w:color w:val="auto"/>
        </w:rPr>
      </w:pPr>
      <w:r>
        <w:rPr>
          <w:rFonts w:ascii="Arial" w:cs="Arial" w:eastAsia="Arial" w:hAnsi="Arial"/>
          <w:sz w:val="16"/>
          <w:szCs w:val="16"/>
          <w:color w:val="auto"/>
        </w:rPr>
        <w:t>We, along with a number of our subsidiaries, also are defendants in other judicial and administrative proceedings involving matters incidental to our business. We do not believe that any material liability will be imposed as a result of any of the foregoing matters.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Related Party Transactions</w:t>
      </w:r>
    </w:p>
    <w:p>
      <w:pPr>
        <w:spacing w:after="0" w:line="194" w:lineRule="exact"/>
        <w:rPr>
          <w:sz w:val="20"/>
          <w:szCs w:val="20"/>
          <w:color w:val="auto"/>
        </w:rPr>
      </w:pPr>
    </w:p>
    <w:p>
      <w:pPr>
        <w:ind w:firstLine="374"/>
        <w:spacing w:after="0" w:line="253" w:lineRule="auto"/>
        <w:rPr>
          <w:sz w:val="20"/>
          <w:szCs w:val="20"/>
          <w:color w:val="auto"/>
        </w:rPr>
      </w:pPr>
      <w:r>
        <w:rPr>
          <w:rFonts w:ascii="Arial" w:cs="Arial" w:eastAsia="Arial" w:hAnsi="Arial"/>
          <w:sz w:val="16"/>
          <w:szCs w:val="16"/>
          <w:color w:val="auto"/>
        </w:rPr>
        <w:t>We have an equity investment in MadHive, Inc. (MadHive) which is a related party of TEGNA. We also have a commercial agreement with MadHive, which expires on December 31, 2025, under which MadHive provides platform services to our Premion business. We previously had an additional commercial agreement with MadHive under which Premion had access to streaming inventory available in MadHive’s demand site platform. That agreement expired as of December 31, 2024. In the third quarter and first nine months of 2025, we incurred expenses of $0.2 million and $0.5 million, respectively, as a result of the commercial agreement with MadHive. In the third quarter and first nine months of 2024, we incurred expenses of $16.4 million and $53.7 million, respectively, as a result of the commercial agreements with MadHive. As of September 30, 2025, and December 31, 2024, we had accounts receivable associated with the MadHive commercial agreements of $0.1 million and $0.4 million, respectively.</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18" w:name="page19"/>
    <w:bookmarkEnd w:id="18"/>
    <w:p>
      <w:pPr>
        <w:ind w:right="3760"/>
        <w:spacing w:after="0" w:line="457" w:lineRule="auto"/>
        <w:rPr>
          <w:sz w:val="20"/>
          <w:szCs w:val="20"/>
          <w:color w:val="auto"/>
        </w:rPr>
      </w:pPr>
      <w:r>
        <w:rPr>
          <w:rFonts w:ascii="Arial" w:cs="Arial" w:eastAsia="Arial" w:hAnsi="Arial"/>
          <w:sz w:val="16"/>
          <w:szCs w:val="16"/>
          <w:b w:val="1"/>
          <w:bCs w:val="1"/>
          <w:color w:val="auto"/>
        </w:rPr>
        <w:t>Item 2. Management’s Discussion and Analysis of Financial Condition and Results of Operations Company Overview</w:t>
      </w:r>
    </w:p>
    <w:p>
      <w:pPr>
        <w:spacing w:after="0" w:line="1" w:lineRule="exact"/>
        <w:rPr>
          <w:sz w:val="20"/>
          <w:szCs w:val="20"/>
          <w:color w:val="auto"/>
        </w:rPr>
      </w:pPr>
    </w:p>
    <w:p>
      <w:pPr>
        <w:ind w:firstLine="374"/>
        <w:spacing w:after="0" w:line="250" w:lineRule="auto"/>
        <w:rPr>
          <w:sz w:val="20"/>
          <w:szCs w:val="20"/>
          <w:color w:val="auto"/>
        </w:rPr>
      </w:pPr>
      <w:r>
        <w:rPr>
          <w:rFonts w:ascii="Arial" w:cs="Arial" w:eastAsia="Arial" w:hAnsi="Arial"/>
          <w:sz w:val="16"/>
          <w:szCs w:val="16"/>
          <w:color w:val="auto"/>
        </w:rPr>
        <w:t>We serve our local communities across the U.S. through trustworthy journalism, engaging content, and tools that help people navigate their daily lives. Through customized marketing solutions, we help businesses grow and thrive. With 64 television stations and two radio stations in 51 U.S. markets, we reach over 100 million people every month across the web, mobile apps, connected television (CTV), and linear television. We are the largest owner of top four network affiliates in the top 25 markets among independent station groups, reaching approximately 39% of U.S. television households. We produce more than 1,700 hours of local news content per week, making us one of the nation’s largest originators of local news, and our stations have been consistently honored with the industry’s top awards, including Edward R. Murrow, George Polk, Alfred I. DuPont and Emmy Awards. Additionally, through our network affiliation and local sports rights agreements, we carry popular sports content, including professional and collegiate sports and the Olympics. We also own leading multicast networks True Crime Network and Quest. Each of our television stations has a robust digital presence across online, mobile, CTV and social platforms, reaching consumers on all devices and platforms they use to consume news content. Our combined local and national sales forces capitalize on the reach of our linear television, digital, CTV, and streaming app platforms (including Premion, our CTV advertising network) offerings to offer our advertising clients with an extensive customer base.</w:t>
      </w:r>
    </w:p>
    <w:p>
      <w:pPr>
        <w:spacing w:after="0" w:line="133" w:lineRule="exact"/>
        <w:rPr>
          <w:sz w:val="20"/>
          <w:szCs w:val="20"/>
          <w:color w:val="auto"/>
        </w:rPr>
      </w:pPr>
    </w:p>
    <w:p>
      <w:pPr>
        <w:ind w:right="260" w:firstLine="374"/>
        <w:spacing w:after="0" w:line="254" w:lineRule="auto"/>
        <w:rPr>
          <w:sz w:val="20"/>
          <w:szCs w:val="20"/>
          <w:color w:val="auto"/>
        </w:rPr>
      </w:pPr>
      <w:r>
        <w:rPr>
          <w:rFonts w:ascii="Arial" w:cs="Arial" w:eastAsia="Arial" w:hAnsi="Arial"/>
          <w:sz w:val="16"/>
          <w:szCs w:val="16"/>
          <w:color w:val="auto"/>
        </w:rPr>
        <w:t>We have one operating and reportable segment. The primary sources of our revenues are: 1) distribution revenues, reflecting fees paid by satellite, cable, streaming apps and telecommunications providers to carry our television signals on their platforms. Distribution revenue also includes amounts we earn from licensing content to other outside parties for redistribution; 2) advertising &amp; marketing services revenues, which include local and national non-political television advertising, digital marketing services (including Premion), and advertising on the stations’ websites, tablet and mobile products and streaming apps; 3) political advertising revenues, which are driven by even-year election cycles at the local and national level (e.g. 2024, 2026, etc.) and particularly in the second half of those years; and 4) other services, such as production of programming and tower rentals.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Merger Agreement</w:t>
      </w:r>
    </w:p>
    <w:p>
      <w:pPr>
        <w:spacing w:after="0" w:line="194" w:lineRule="exact"/>
        <w:rPr>
          <w:sz w:val="20"/>
          <w:szCs w:val="20"/>
          <w:color w:val="auto"/>
        </w:rPr>
      </w:pPr>
    </w:p>
    <w:p>
      <w:pPr>
        <w:ind w:right="260" w:firstLine="374"/>
        <w:spacing w:after="0" w:line="266" w:lineRule="auto"/>
        <w:rPr>
          <w:sz w:val="20"/>
          <w:szCs w:val="20"/>
          <w:color w:val="auto"/>
        </w:rPr>
      </w:pPr>
      <w:r>
        <w:rPr>
          <w:rFonts w:ascii="Arial" w:cs="Arial" w:eastAsia="Arial" w:hAnsi="Arial"/>
          <w:sz w:val="16"/>
          <w:szCs w:val="16"/>
          <w:color w:val="auto"/>
        </w:rPr>
        <w:t>On August 18, 2025, TEGNA Inc. entered into the Merger Agreement, with Nexstar. We currently expect the Merger, which is subject to stockholder and regulatory approvals, and other customary closing conditions, to close by the second half of 2026. See the Notes to the condensed consolidated financial statements for further information about the Merger Agreement, the pending Merger and related matters.</w:t>
      </w:r>
    </w:p>
    <w:p>
      <w:pPr>
        <w:spacing w:after="0" w:line="144" w:lineRule="exact"/>
        <w:rPr>
          <w:sz w:val="20"/>
          <w:szCs w:val="20"/>
          <w:color w:val="auto"/>
        </w:rPr>
      </w:pPr>
    </w:p>
    <w:p>
      <w:pPr>
        <w:ind w:right="160" w:firstLine="374"/>
        <w:spacing w:after="0" w:line="266" w:lineRule="auto"/>
        <w:rPr>
          <w:sz w:val="20"/>
          <w:szCs w:val="20"/>
          <w:color w:val="auto"/>
        </w:rPr>
      </w:pPr>
      <w:r>
        <w:rPr>
          <w:rFonts w:ascii="Arial" w:cs="Arial" w:eastAsia="Arial" w:hAnsi="Arial"/>
          <w:sz w:val="16"/>
          <w:szCs w:val="16"/>
          <w:color w:val="auto"/>
        </w:rPr>
        <w:t>As permitted by the terms of the Merger Agreement, we plan to continue to pay our regular quarterly dividend of $0.125 per share through the closing of the Merger. As required by the terms of the Merger Agreement, TEGNA has suspended repurchases of its common shares during the pendency of the transaction.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Results from Operations</w:t>
      </w:r>
    </w:p>
    <w:p>
      <w:pPr>
        <w:spacing w:after="0" w:line="167" w:lineRule="exact"/>
        <w:rPr>
          <w:sz w:val="20"/>
          <w:szCs w:val="20"/>
          <w:color w:val="auto"/>
        </w:rPr>
      </w:pPr>
    </w:p>
    <w:p>
      <w:pPr>
        <w:ind w:right="160" w:firstLine="374"/>
        <w:spacing w:after="0" w:line="266" w:lineRule="auto"/>
        <w:rPr>
          <w:sz w:val="20"/>
          <w:szCs w:val="20"/>
          <w:color w:val="auto"/>
        </w:rPr>
      </w:pPr>
      <w:r>
        <w:rPr>
          <w:rFonts w:ascii="Arial" w:cs="Arial" w:eastAsia="Arial" w:hAnsi="Arial"/>
          <w:sz w:val="16"/>
          <w:szCs w:val="16"/>
          <w:color w:val="auto"/>
        </w:rPr>
        <w:t>The following discussion is a comparison of our consolidated results on a GAAP basis. The year-to-year comparison of financial results is not necessarily indicative of future results. In addition, see the section titled “Results from Operations - Non-GAAP Information” for additional tables presenting information that supplements our financial information provided on a GAAP basis.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19" w:name="page20"/>
    <w:bookmarkEnd w:id="19"/>
    <w:p>
      <w:pPr>
        <w:ind w:left="380"/>
        <w:spacing w:after="0"/>
        <w:rPr>
          <w:sz w:val="20"/>
          <w:szCs w:val="20"/>
          <w:color w:val="auto"/>
        </w:rPr>
      </w:pPr>
      <w:r>
        <w:rPr>
          <w:rFonts w:ascii="Arial" w:cs="Arial" w:eastAsia="Arial" w:hAnsi="Arial"/>
          <w:sz w:val="16"/>
          <w:szCs w:val="16"/>
          <w:color w:val="auto"/>
        </w:rPr>
        <w:t>Our consolidated results of operations on a GAAP basis were as follows (in thousands, except per 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3"/>
                <w:szCs w:val="13"/>
                <w:b w:val="1"/>
                <w:bCs w:val="1"/>
                <w:color w:val="auto"/>
              </w:rPr>
              <w:t>Quarter ended Sept. 30,</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ind w:left="480"/>
              <w:spacing w:after="0"/>
              <w:rPr>
                <w:sz w:val="20"/>
                <w:szCs w:val="20"/>
                <w:color w:val="auto"/>
              </w:rPr>
            </w:pPr>
            <w:r>
              <w:rPr>
                <w:rFonts w:ascii="Arial" w:cs="Arial" w:eastAsia="Arial" w:hAnsi="Arial"/>
                <w:sz w:val="13"/>
                <w:szCs w:val="13"/>
                <w:b w:val="1"/>
                <w:bCs w:val="1"/>
                <w:color w:val="auto"/>
              </w:rPr>
              <w:t>Nine months ended Sept. 30,</w:t>
            </w:r>
          </w:p>
        </w:tc>
        <w:tc>
          <w:tcPr>
            <w:tcW w:w="700" w:type="dxa"/>
            <w:vAlign w:val="bottom"/>
            <w:tcBorders>
              <w:bottom w:val="single" w:sz="8" w:color="auto"/>
            </w:tcBorders>
          </w:tcPr>
          <w:p>
            <w:pPr>
              <w:spacing w:after="0"/>
              <w:rPr>
                <w:sz w:val="14"/>
                <w:szCs w:val="14"/>
                <w:color w:val="auto"/>
              </w:rPr>
            </w:pPr>
          </w:p>
        </w:tc>
      </w:tr>
      <w:tr>
        <w:trPr>
          <w:trHeight w:val="142"/>
        </w:trPr>
        <w:tc>
          <w:tcPr>
            <w:tcW w:w="4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2"/>
                <w:szCs w:val="12"/>
                <w:color w:val="auto"/>
              </w:rPr>
            </w:pPr>
          </w:p>
        </w:tc>
        <w:tc>
          <w:tcPr>
            <w:tcW w:w="84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3"/>
                <w:szCs w:val="13"/>
                <w:b w:val="1"/>
                <w:bCs w:val="1"/>
                <w:color w:val="auto"/>
              </w:rPr>
              <w:t>Change</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Change</w:t>
            </w:r>
          </w:p>
        </w:tc>
      </w:tr>
      <w:tr>
        <w:trPr>
          <w:trHeight w:val="142"/>
        </w:trPr>
        <w:tc>
          <w:tcPr>
            <w:tcW w:w="4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8"/>
        </w:trPr>
        <w:tc>
          <w:tcPr>
            <w:tcW w:w="41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Revenues</w:t>
            </w:r>
          </w:p>
        </w:tc>
        <w:tc>
          <w:tcPr>
            <w:tcW w:w="260" w:type="dxa"/>
            <w:vAlign w:val="bottom"/>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650,791</w:t>
            </w:r>
          </w:p>
        </w:tc>
        <w:tc>
          <w:tcPr>
            <w:tcW w:w="380" w:type="dxa"/>
            <w:vAlign w:val="bottom"/>
            <w:gridSpan w:val="2"/>
            <w:shd w:val="clear" w:color="auto" w:fill="CFF0FC"/>
          </w:tcPr>
          <w:p>
            <w:pPr>
              <w:jc w:val="right"/>
              <w:ind w:right="133"/>
              <w:spacing w:after="0"/>
              <w:rPr>
                <w:sz w:val="20"/>
                <w:szCs w:val="20"/>
                <w:color w:val="auto"/>
              </w:rPr>
            </w:pPr>
            <w:r>
              <w:rPr>
                <w:rFonts w:ascii="Arial" w:cs="Arial" w:eastAsia="Arial" w:hAnsi="Arial"/>
                <w:sz w:val="13"/>
                <w:szCs w:val="13"/>
                <w:color w:val="auto"/>
              </w:rPr>
              <w:t>$</w:t>
            </w:r>
          </w:p>
        </w:tc>
        <w:tc>
          <w:tcPr>
            <w:tcW w:w="108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806,827</w:t>
            </w:r>
          </w:p>
        </w:tc>
        <w:tc>
          <w:tcPr>
            <w:tcW w:w="940" w:type="dxa"/>
            <w:vAlign w:val="bottom"/>
            <w:gridSpan w:val="2"/>
            <w:shd w:val="clear" w:color="auto" w:fill="CFF0FC"/>
          </w:tcPr>
          <w:p>
            <w:pPr>
              <w:jc w:val="center"/>
              <w:ind w:left="33"/>
              <w:spacing w:after="0"/>
              <w:rPr>
                <w:sz w:val="20"/>
                <w:szCs w:val="20"/>
                <w:color w:val="auto"/>
              </w:rPr>
            </w:pPr>
            <w:r>
              <w:rPr>
                <w:rFonts w:ascii="Arial" w:cs="Arial" w:eastAsia="Arial" w:hAnsi="Arial"/>
                <w:sz w:val="13"/>
                <w:szCs w:val="13"/>
                <w:color w:val="auto"/>
              </w:rPr>
              <w:t>(19%)</w:t>
            </w:r>
          </w:p>
        </w:tc>
        <w:tc>
          <w:tcPr>
            <w:tcW w:w="340" w:type="dxa"/>
            <w:vAlign w:val="bottom"/>
            <w:gridSpan w:val="2"/>
            <w:shd w:val="clear" w:color="auto" w:fill="CFF0FC"/>
          </w:tcPr>
          <w:p>
            <w:pPr>
              <w:jc w:val="right"/>
              <w:ind w:right="109"/>
              <w:spacing w:after="0"/>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2,005,885</w:t>
            </w:r>
          </w:p>
        </w:tc>
        <w:tc>
          <w:tcPr>
            <w:tcW w:w="280" w:type="dxa"/>
            <w:vAlign w:val="bottom"/>
            <w:gridSpan w:val="2"/>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2,231,442</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center"/>
              <w:ind w:right="113"/>
              <w:spacing w:after="0"/>
              <w:rPr>
                <w:sz w:val="20"/>
                <w:szCs w:val="20"/>
                <w:color w:val="auto"/>
              </w:rPr>
            </w:pPr>
            <w:r>
              <w:rPr>
                <w:rFonts w:ascii="Arial" w:cs="Arial" w:eastAsia="Arial" w:hAnsi="Arial"/>
                <w:sz w:val="13"/>
                <w:szCs w:val="13"/>
                <w:color w:val="auto"/>
              </w:rPr>
              <w:t>(10%)</w:t>
            </w:r>
          </w:p>
        </w:tc>
      </w:tr>
      <w:tr>
        <w:trPr>
          <w:trHeight w:val="148"/>
        </w:trPr>
        <w:tc>
          <w:tcPr>
            <w:tcW w:w="4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8"/>
        </w:trPr>
        <w:tc>
          <w:tcPr>
            <w:tcW w:w="41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Operating expenses:</w:t>
            </w:r>
          </w:p>
        </w:tc>
        <w:tc>
          <w:tcPr>
            <w:tcW w:w="2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r>
      <w:tr>
        <w:trPr>
          <w:trHeight w:val="148"/>
        </w:trPr>
        <w:tc>
          <w:tcPr>
            <w:tcW w:w="4120" w:type="dxa"/>
            <w:vAlign w:val="bottom"/>
          </w:tcPr>
          <w:p>
            <w:pPr>
              <w:ind w:left="80"/>
              <w:spacing w:after="0"/>
              <w:rPr>
                <w:sz w:val="20"/>
                <w:szCs w:val="20"/>
                <w:color w:val="auto"/>
              </w:rPr>
            </w:pPr>
            <w:r>
              <w:rPr>
                <w:rFonts w:ascii="Arial" w:cs="Arial" w:eastAsia="Arial" w:hAnsi="Arial"/>
                <w:sz w:val="13"/>
                <w:szCs w:val="13"/>
                <w:color w:val="auto"/>
              </w:rPr>
              <w:t>Cost of revenues</w:t>
            </w:r>
          </w:p>
        </w:tc>
        <w:tc>
          <w:tcPr>
            <w:tcW w:w="260" w:type="dxa"/>
            <w:vAlign w:val="bottom"/>
          </w:tcPr>
          <w:p>
            <w:pPr>
              <w:spacing w:after="0"/>
              <w:rPr>
                <w:sz w:val="12"/>
                <w:szCs w:val="12"/>
                <w:color w:val="auto"/>
              </w:rPr>
            </w:pPr>
          </w:p>
        </w:tc>
        <w:tc>
          <w:tcPr>
            <w:tcW w:w="1080" w:type="dxa"/>
            <w:vAlign w:val="bottom"/>
          </w:tcPr>
          <w:p>
            <w:pPr>
              <w:jc w:val="right"/>
              <w:ind w:right="53"/>
              <w:spacing w:after="0"/>
              <w:rPr>
                <w:sz w:val="20"/>
                <w:szCs w:val="20"/>
                <w:color w:val="auto"/>
              </w:rPr>
            </w:pPr>
            <w:r>
              <w:rPr>
                <w:rFonts w:ascii="Arial" w:cs="Arial" w:eastAsia="Arial" w:hAnsi="Arial"/>
                <w:sz w:val="13"/>
                <w:szCs w:val="13"/>
                <w:color w:val="auto"/>
              </w:rPr>
              <w:t>422,121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53"/>
              <w:spacing w:after="0"/>
              <w:rPr>
                <w:sz w:val="20"/>
                <w:szCs w:val="20"/>
                <w:color w:val="auto"/>
              </w:rPr>
            </w:pPr>
            <w:r>
              <w:rPr>
                <w:rFonts w:ascii="Arial" w:cs="Arial" w:eastAsia="Arial" w:hAnsi="Arial"/>
                <w:sz w:val="13"/>
                <w:szCs w:val="13"/>
                <w:color w:val="auto"/>
              </w:rPr>
              <w:t>437,855</w:t>
            </w:r>
          </w:p>
        </w:tc>
        <w:tc>
          <w:tcPr>
            <w:tcW w:w="940" w:type="dxa"/>
            <w:vAlign w:val="bottom"/>
            <w:gridSpan w:val="2"/>
          </w:tcPr>
          <w:p>
            <w:pPr>
              <w:jc w:val="center"/>
              <w:ind w:left="33"/>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53"/>
              <w:spacing w:after="0"/>
              <w:rPr>
                <w:sz w:val="20"/>
                <w:szCs w:val="20"/>
                <w:color w:val="auto"/>
              </w:rPr>
            </w:pPr>
            <w:r>
              <w:rPr>
                <w:rFonts w:ascii="Arial" w:cs="Arial" w:eastAsia="Arial" w:hAnsi="Arial"/>
                <w:sz w:val="13"/>
                <w:szCs w:val="13"/>
                <w:color w:val="auto"/>
              </w:rPr>
              <w:t>1,286,008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1,300,466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3"/>
                <w:szCs w:val="13"/>
                <w:color w:val="auto"/>
              </w:rPr>
              <w:t>(1%)</w:t>
            </w:r>
          </w:p>
        </w:tc>
      </w:tr>
      <w:tr>
        <w:trPr>
          <w:trHeight w:val="149"/>
        </w:trPr>
        <w:tc>
          <w:tcPr>
            <w:tcW w:w="4120" w:type="dxa"/>
            <w:vAlign w:val="bottom"/>
            <w:shd w:val="clear" w:color="auto" w:fill="CFF0FC"/>
          </w:tcPr>
          <w:p>
            <w:pPr>
              <w:ind w:left="80"/>
              <w:spacing w:after="0"/>
              <w:rPr>
                <w:sz w:val="20"/>
                <w:szCs w:val="20"/>
                <w:color w:val="auto"/>
              </w:rPr>
            </w:pPr>
            <w:r>
              <w:rPr>
                <w:rFonts w:ascii="Arial" w:cs="Arial" w:eastAsia="Arial" w:hAnsi="Arial"/>
                <w:sz w:val="13"/>
                <w:szCs w:val="13"/>
                <w:color w:val="auto"/>
              </w:rPr>
              <w:t>Business units - Selling, general and administrative expenses</w:t>
            </w:r>
          </w:p>
        </w:tc>
        <w:tc>
          <w:tcPr>
            <w:tcW w:w="26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89,901</w:t>
            </w: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96,882</w:t>
            </w:r>
          </w:p>
        </w:tc>
        <w:tc>
          <w:tcPr>
            <w:tcW w:w="940" w:type="dxa"/>
            <w:vAlign w:val="bottom"/>
            <w:gridSpan w:val="2"/>
            <w:shd w:val="clear" w:color="auto" w:fill="CFF0FC"/>
          </w:tcPr>
          <w:p>
            <w:pPr>
              <w:jc w:val="center"/>
              <w:ind w:left="33"/>
              <w:spacing w:after="0"/>
              <w:rPr>
                <w:sz w:val="20"/>
                <w:szCs w:val="20"/>
                <w:color w:val="auto"/>
              </w:rPr>
            </w:pPr>
            <w:r>
              <w:rPr>
                <w:rFonts w:ascii="Arial" w:cs="Arial" w:eastAsia="Arial" w:hAnsi="Arial"/>
                <w:sz w:val="13"/>
                <w:szCs w:val="13"/>
                <w:color w:val="auto"/>
              </w:rPr>
              <w:t>(7%)</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280,446</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294,080</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center"/>
              <w:ind w:right="113"/>
              <w:spacing w:after="0"/>
              <w:rPr>
                <w:sz w:val="20"/>
                <w:szCs w:val="20"/>
                <w:color w:val="auto"/>
              </w:rPr>
            </w:pPr>
            <w:r>
              <w:rPr>
                <w:rFonts w:ascii="Arial" w:cs="Arial" w:eastAsia="Arial" w:hAnsi="Arial"/>
                <w:sz w:val="13"/>
                <w:szCs w:val="13"/>
                <w:color w:val="auto"/>
              </w:rPr>
              <w:t>(5%)</w:t>
            </w:r>
          </w:p>
        </w:tc>
      </w:tr>
      <w:tr>
        <w:trPr>
          <w:trHeight w:val="148"/>
        </w:trPr>
        <w:tc>
          <w:tcPr>
            <w:tcW w:w="4120" w:type="dxa"/>
            <w:vAlign w:val="bottom"/>
          </w:tcPr>
          <w:p>
            <w:pPr>
              <w:ind w:left="80"/>
              <w:spacing w:after="0"/>
              <w:rPr>
                <w:sz w:val="20"/>
                <w:szCs w:val="20"/>
                <w:color w:val="auto"/>
              </w:rPr>
            </w:pPr>
            <w:r>
              <w:rPr>
                <w:rFonts w:ascii="Arial" w:cs="Arial" w:eastAsia="Arial" w:hAnsi="Arial"/>
                <w:sz w:val="13"/>
                <w:szCs w:val="13"/>
                <w:color w:val="auto"/>
              </w:rPr>
              <w:t>Corporate - General and administrative expenses</w:t>
            </w:r>
          </w:p>
        </w:tc>
        <w:tc>
          <w:tcPr>
            <w:tcW w:w="260" w:type="dxa"/>
            <w:vAlign w:val="bottom"/>
          </w:tcPr>
          <w:p>
            <w:pPr>
              <w:spacing w:after="0"/>
              <w:rPr>
                <w:sz w:val="12"/>
                <w:szCs w:val="12"/>
                <w:color w:val="auto"/>
              </w:rPr>
            </w:pPr>
          </w:p>
        </w:tc>
        <w:tc>
          <w:tcPr>
            <w:tcW w:w="1080" w:type="dxa"/>
            <w:vAlign w:val="bottom"/>
          </w:tcPr>
          <w:p>
            <w:pPr>
              <w:jc w:val="right"/>
              <w:ind w:right="53"/>
              <w:spacing w:after="0"/>
              <w:rPr>
                <w:sz w:val="20"/>
                <w:szCs w:val="20"/>
                <w:color w:val="auto"/>
              </w:rPr>
            </w:pPr>
            <w:r>
              <w:rPr>
                <w:rFonts w:ascii="Arial" w:cs="Arial" w:eastAsia="Arial" w:hAnsi="Arial"/>
                <w:sz w:val="13"/>
                <w:szCs w:val="13"/>
                <w:color w:val="auto"/>
              </w:rPr>
              <w:t>22,821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53"/>
              <w:spacing w:after="0"/>
              <w:rPr>
                <w:sz w:val="20"/>
                <w:szCs w:val="20"/>
                <w:color w:val="auto"/>
              </w:rPr>
            </w:pPr>
            <w:r>
              <w:rPr>
                <w:rFonts w:ascii="Arial" w:cs="Arial" w:eastAsia="Arial" w:hAnsi="Arial"/>
                <w:sz w:val="13"/>
                <w:szCs w:val="13"/>
                <w:color w:val="auto"/>
              </w:rPr>
              <w:t>13,188</w:t>
            </w:r>
          </w:p>
        </w:tc>
        <w:tc>
          <w:tcPr>
            <w:tcW w:w="940" w:type="dxa"/>
            <w:vAlign w:val="bottom"/>
            <w:gridSpan w:val="2"/>
          </w:tcPr>
          <w:p>
            <w:pPr>
              <w:jc w:val="center"/>
              <w:ind w:left="33"/>
              <w:spacing w:after="0"/>
              <w:rPr>
                <w:sz w:val="20"/>
                <w:szCs w:val="20"/>
                <w:color w:val="auto"/>
              </w:rPr>
            </w:pPr>
            <w:r>
              <w:rPr>
                <w:rFonts w:ascii="Arial" w:cs="Arial" w:eastAsia="Arial" w:hAnsi="Arial"/>
                <w:sz w:val="13"/>
                <w:szCs w:val="13"/>
                <w:color w:val="auto"/>
              </w:rPr>
              <w:t>73%</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53"/>
              <w:spacing w:after="0"/>
              <w:rPr>
                <w:sz w:val="20"/>
                <w:szCs w:val="20"/>
                <w:color w:val="auto"/>
              </w:rPr>
            </w:pPr>
            <w:r>
              <w:rPr>
                <w:rFonts w:ascii="Arial" w:cs="Arial" w:eastAsia="Arial" w:hAnsi="Arial"/>
                <w:sz w:val="13"/>
                <w:szCs w:val="13"/>
                <w:color w:val="auto"/>
              </w:rPr>
              <w:t>43,086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40,671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3"/>
                <w:szCs w:val="13"/>
                <w:color w:val="auto"/>
              </w:rPr>
              <w:t>6%</w:t>
            </w:r>
          </w:p>
        </w:tc>
      </w:tr>
      <w:tr>
        <w:trPr>
          <w:trHeight w:val="148"/>
        </w:trPr>
        <w:tc>
          <w:tcPr>
            <w:tcW w:w="4120" w:type="dxa"/>
            <w:vAlign w:val="bottom"/>
            <w:shd w:val="clear" w:color="auto" w:fill="CFF0FC"/>
          </w:tcPr>
          <w:p>
            <w:pPr>
              <w:ind w:left="80"/>
              <w:spacing w:after="0"/>
              <w:rPr>
                <w:sz w:val="20"/>
                <w:szCs w:val="20"/>
                <w:color w:val="auto"/>
              </w:rPr>
            </w:pPr>
            <w:r>
              <w:rPr>
                <w:rFonts w:ascii="Arial" w:cs="Arial" w:eastAsia="Arial" w:hAnsi="Arial"/>
                <w:sz w:val="13"/>
                <w:szCs w:val="13"/>
                <w:color w:val="auto"/>
              </w:rPr>
              <w:t>Depreciation</w:t>
            </w:r>
          </w:p>
        </w:tc>
        <w:tc>
          <w:tcPr>
            <w:tcW w:w="26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14,997</w:t>
            </w: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15,543</w:t>
            </w:r>
          </w:p>
        </w:tc>
        <w:tc>
          <w:tcPr>
            <w:tcW w:w="940" w:type="dxa"/>
            <w:vAlign w:val="bottom"/>
            <w:gridSpan w:val="2"/>
            <w:shd w:val="clear" w:color="auto" w:fill="CFF0FC"/>
          </w:tcPr>
          <w:p>
            <w:pPr>
              <w:jc w:val="center"/>
              <w:ind w:left="33"/>
              <w:spacing w:after="0"/>
              <w:rPr>
                <w:sz w:val="20"/>
                <w:szCs w:val="20"/>
                <w:color w:val="auto"/>
              </w:rPr>
            </w:pPr>
            <w:r>
              <w:rPr>
                <w:rFonts w:ascii="Arial" w:cs="Arial" w:eastAsia="Arial" w:hAnsi="Arial"/>
                <w:sz w:val="13"/>
                <w:szCs w:val="13"/>
                <w:color w:val="auto"/>
              </w:rPr>
              <w:t>(4%)</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46,272</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45,026</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center"/>
              <w:ind w:right="113"/>
              <w:spacing w:after="0"/>
              <w:rPr>
                <w:sz w:val="20"/>
                <w:szCs w:val="20"/>
                <w:color w:val="auto"/>
              </w:rPr>
            </w:pPr>
            <w:r>
              <w:rPr>
                <w:rFonts w:ascii="Arial" w:cs="Arial" w:eastAsia="Arial" w:hAnsi="Arial"/>
                <w:sz w:val="13"/>
                <w:szCs w:val="13"/>
                <w:color w:val="auto"/>
              </w:rPr>
              <w:t>3%</w:t>
            </w:r>
          </w:p>
        </w:tc>
      </w:tr>
      <w:tr>
        <w:trPr>
          <w:trHeight w:val="148"/>
        </w:trPr>
        <w:tc>
          <w:tcPr>
            <w:tcW w:w="4120" w:type="dxa"/>
            <w:vAlign w:val="bottom"/>
          </w:tcPr>
          <w:p>
            <w:pPr>
              <w:ind w:left="80"/>
              <w:spacing w:after="0"/>
              <w:rPr>
                <w:sz w:val="20"/>
                <w:szCs w:val="20"/>
                <w:color w:val="auto"/>
              </w:rPr>
            </w:pPr>
            <w:r>
              <w:rPr>
                <w:rFonts w:ascii="Arial" w:cs="Arial" w:eastAsia="Arial" w:hAnsi="Arial"/>
                <w:sz w:val="13"/>
                <w:szCs w:val="13"/>
                <w:color w:val="auto"/>
              </w:rPr>
              <w:t>Amortization of intangible assets</w:t>
            </w:r>
          </w:p>
        </w:tc>
        <w:tc>
          <w:tcPr>
            <w:tcW w:w="260" w:type="dxa"/>
            <w:vAlign w:val="bottom"/>
          </w:tcPr>
          <w:p>
            <w:pPr>
              <w:spacing w:after="0"/>
              <w:rPr>
                <w:sz w:val="12"/>
                <w:szCs w:val="12"/>
                <w:color w:val="auto"/>
              </w:rPr>
            </w:pPr>
          </w:p>
        </w:tc>
        <w:tc>
          <w:tcPr>
            <w:tcW w:w="1080" w:type="dxa"/>
            <w:vAlign w:val="bottom"/>
          </w:tcPr>
          <w:p>
            <w:pPr>
              <w:jc w:val="right"/>
              <w:ind w:right="53"/>
              <w:spacing w:after="0"/>
              <w:rPr>
                <w:sz w:val="20"/>
                <w:szCs w:val="20"/>
                <w:color w:val="auto"/>
              </w:rPr>
            </w:pPr>
            <w:r>
              <w:rPr>
                <w:rFonts w:ascii="Arial" w:cs="Arial" w:eastAsia="Arial" w:hAnsi="Arial"/>
                <w:sz w:val="13"/>
                <w:szCs w:val="13"/>
                <w:color w:val="auto"/>
              </w:rPr>
              <w:t>8,831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53"/>
              <w:spacing w:after="0"/>
              <w:rPr>
                <w:sz w:val="20"/>
                <w:szCs w:val="20"/>
                <w:color w:val="auto"/>
              </w:rPr>
            </w:pPr>
            <w:r>
              <w:rPr>
                <w:rFonts w:ascii="Arial" w:cs="Arial" w:eastAsia="Arial" w:hAnsi="Arial"/>
                <w:sz w:val="13"/>
                <w:szCs w:val="13"/>
                <w:color w:val="auto"/>
              </w:rPr>
              <w:t>13,467</w:t>
            </w:r>
          </w:p>
        </w:tc>
        <w:tc>
          <w:tcPr>
            <w:tcW w:w="940" w:type="dxa"/>
            <w:vAlign w:val="bottom"/>
            <w:gridSpan w:val="2"/>
          </w:tcPr>
          <w:p>
            <w:pPr>
              <w:jc w:val="center"/>
              <w:ind w:left="33"/>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53"/>
              <w:spacing w:after="0"/>
              <w:rPr>
                <w:sz w:val="20"/>
                <w:szCs w:val="20"/>
                <w:color w:val="auto"/>
              </w:rPr>
            </w:pPr>
            <w:r>
              <w:rPr>
                <w:rFonts w:ascii="Arial" w:cs="Arial" w:eastAsia="Arial" w:hAnsi="Arial"/>
                <w:sz w:val="13"/>
                <w:szCs w:val="13"/>
                <w:color w:val="auto"/>
              </w:rPr>
              <w:t>26,516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40,790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3"/>
                <w:szCs w:val="13"/>
                <w:color w:val="auto"/>
              </w:rPr>
              <w:t>(35%)</w:t>
            </w:r>
          </w:p>
        </w:tc>
      </w:tr>
      <w:tr>
        <w:trPr>
          <w:trHeight w:val="168"/>
        </w:trPr>
        <w:tc>
          <w:tcPr>
            <w:tcW w:w="41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3"/>
                <w:szCs w:val="13"/>
                <w:color w:val="auto"/>
              </w:rPr>
              <w:t>Asset impairment and other</w:t>
            </w:r>
          </w:p>
        </w:tc>
        <w:tc>
          <w:tcPr>
            <w:tcW w:w="260" w:type="dxa"/>
            <w:vAlign w:val="bottom"/>
            <w:tcBorders>
              <w:bottom w:val="single" w:sz="8" w:color="CFF0FC"/>
            </w:tcBorders>
            <w:shd w:val="clear" w:color="auto" w:fill="CFF0FC"/>
          </w:tcPr>
          <w:p>
            <w:pPr>
              <w:spacing w:after="0"/>
              <w:rPr>
                <w:sz w:val="14"/>
                <w:szCs w:val="14"/>
                <w:color w:val="auto"/>
              </w:rPr>
            </w:pPr>
          </w:p>
        </w:tc>
        <w:tc>
          <w:tcPr>
            <w:tcW w:w="1080" w:type="dxa"/>
            <w:vAlign w:val="bottom"/>
            <w:tcBorders>
              <w:bottom w:val="single" w:sz="8" w:color="CFF0FC"/>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1080" w:type="dxa"/>
            <w:vAlign w:val="bottom"/>
            <w:tcBorders>
              <w:bottom w:val="single" w:sz="8" w:color="CFF0FC"/>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CFF0FC"/>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jc w:val="right"/>
              <w:ind w:right="53"/>
              <w:spacing w:after="0"/>
              <w:rPr>
                <w:sz w:val="20"/>
                <w:szCs w:val="20"/>
                <w:color w:val="auto"/>
              </w:rPr>
            </w:pPr>
            <w:r>
              <w:rPr>
                <w:rFonts w:ascii="Arial" w:cs="Arial" w:eastAsia="Arial" w:hAnsi="Arial"/>
                <w:sz w:val="13"/>
                <w:szCs w:val="13"/>
                <w:color w:val="auto"/>
              </w:rPr>
              <w:t>1,097</w:t>
            </w: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jc w:val="center"/>
              <w:ind w:right="113"/>
              <w:spacing w:after="0"/>
              <w:rPr>
                <w:sz w:val="20"/>
                <w:szCs w:val="20"/>
                <w:color w:val="auto"/>
              </w:rPr>
            </w:pPr>
            <w:r>
              <w:rPr>
                <w:rFonts w:ascii="Arial" w:cs="Arial" w:eastAsia="Arial" w:hAnsi="Arial"/>
                <w:sz w:val="13"/>
                <w:szCs w:val="13"/>
                <w:color w:val="auto"/>
              </w:rPr>
              <w:t>***</w:t>
            </w:r>
          </w:p>
        </w:tc>
      </w:tr>
      <w:tr>
        <w:trPr>
          <w:trHeight w:val="136"/>
        </w:trPr>
        <w:tc>
          <w:tcPr>
            <w:tcW w:w="4120" w:type="dxa"/>
            <w:vAlign w:val="bottom"/>
            <w:tcBorders>
              <w:top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Total</w:t>
            </w:r>
          </w:p>
        </w:tc>
        <w:tc>
          <w:tcPr>
            <w:tcW w:w="260" w:type="dxa"/>
            <w:vAlign w:val="bottom"/>
            <w:tcBorders>
              <w:top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tcPr>
          <w:p>
            <w:pPr>
              <w:jc w:val="right"/>
              <w:ind w:right="53"/>
              <w:spacing w:after="0" w:line="136" w:lineRule="exact"/>
              <w:rPr>
                <w:sz w:val="20"/>
                <w:szCs w:val="20"/>
                <w:color w:val="auto"/>
              </w:rPr>
            </w:pPr>
            <w:r>
              <w:rPr>
                <w:rFonts w:ascii="Arial" w:cs="Arial" w:eastAsia="Arial" w:hAnsi="Arial"/>
                <w:sz w:val="13"/>
                <w:szCs w:val="13"/>
                <w:color w:val="auto"/>
              </w:rPr>
              <w:t>558,671</w:t>
            </w:r>
          </w:p>
        </w:tc>
        <w:tc>
          <w:tcPr>
            <w:tcW w:w="100" w:type="dxa"/>
            <w:vAlign w:val="bottom"/>
          </w:tcPr>
          <w:p>
            <w:pPr>
              <w:spacing w:after="0"/>
              <w:rPr>
                <w:sz w:val="11"/>
                <w:szCs w:val="11"/>
                <w:color w:val="auto"/>
              </w:rPr>
            </w:pPr>
          </w:p>
        </w:tc>
        <w:tc>
          <w:tcPr>
            <w:tcW w:w="280" w:type="dxa"/>
            <w:vAlign w:val="bottom"/>
            <w:tcBorders>
              <w:top w:val="single" w:sz="8" w:color="auto"/>
            </w:tcBorders>
          </w:tcPr>
          <w:p>
            <w:pPr>
              <w:jc w:val="right"/>
              <w:ind w:right="133"/>
              <w:spacing w:after="0" w:line="136" w:lineRule="exact"/>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tcPr>
          <w:p>
            <w:pPr>
              <w:jc w:val="right"/>
              <w:ind w:right="53"/>
              <w:spacing w:after="0" w:line="136" w:lineRule="exact"/>
              <w:rPr>
                <w:sz w:val="20"/>
                <w:szCs w:val="20"/>
                <w:color w:val="auto"/>
              </w:rPr>
            </w:pPr>
            <w:r>
              <w:rPr>
                <w:rFonts w:ascii="Arial" w:cs="Arial" w:eastAsia="Arial" w:hAnsi="Arial"/>
                <w:sz w:val="13"/>
                <w:szCs w:val="13"/>
                <w:color w:val="auto"/>
              </w:rPr>
              <w:t>576,935</w:t>
            </w:r>
          </w:p>
        </w:tc>
        <w:tc>
          <w:tcPr>
            <w:tcW w:w="940" w:type="dxa"/>
            <w:vAlign w:val="bottom"/>
            <w:gridSpan w:val="2"/>
          </w:tcPr>
          <w:p>
            <w:pPr>
              <w:jc w:val="center"/>
              <w:ind w:left="33"/>
              <w:spacing w:after="0" w:line="136"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jc w:val="right"/>
              <w:ind w:right="53"/>
              <w:spacing w:after="0" w:line="136" w:lineRule="exact"/>
              <w:rPr>
                <w:sz w:val="20"/>
                <w:szCs w:val="20"/>
                <w:color w:val="auto"/>
              </w:rPr>
            </w:pPr>
            <w:r>
              <w:rPr>
                <w:rFonts w:ascii="Arial" w:cs="Arial" w:eastAsia="Arial" w:hAnsi="Arial"/>
                <w:sz w:val="13"/>
                <w:szCs w:val="13"/>
                <w:color w:val="auto"/>
              </w:rPr>
              <w:t>1,682,328</w:t>
            </w:r>
          </w:p>
        </w:tc>
        <w:tc>
          <w:tcPr>
            <w:tcW w:w="100" w:type="dxa"/>
            <w:vAlign w:val="bottom"/>
          </w:tcPr>
          <w:p>
            <w:pPr>
              <w:spacing w:after="0"/>
              <w:rPr>
                <w:sz w:val="11"/>
                <w:szCs w:val="11"/>
                <w:color w:val="auto"/>
              </w:rPr>
            </w:pPr>
          </w:p>
        </w:tc>
        <w:tc>
          <w:tcPr>
            <w:tcW w:w="180" w:type="dxa"/>
            <w:vAlign w:val="bottom"/>
            <w:tcBorders>
              <w:top w:val="single" w:sz="8" w:color="auto"/>
            </w:tcBorders>
          </w:tcPr>
          <w:p>
            <w:pPr>
              <w:jc w:val="right"/>
              <w:ind w:right="33"/>
              <w:spacing w:after="0" w:line="136"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ind w:right="53"/>
              <w:spacing w:after="0" w:line="136" w:lineRule="exact"/>
              <w:rPr>
                <w:sz w:val="20"/>
                <w:szCs w:val="20"/>
                <w:color w:val="auto"/>
              </w:rPr>
            </w:pPr>
            <w:r>
              <w:rPr>
                <w:rFonts w:ascii="Arial" w:cs="Arial" w:eastAsia="Arial" w:hAnsi="Arial"/>
                <w:sz w:val="13"/>
                <w:szCs w:val="13"/>
                <w:color w:val="auto"/>
              </w:rPr>
              <w:t>1,722,130</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113"/>
              <w:spacing w:after="0" w:line="136" w:lineRule="exact"/>
              <w:rPr>
                <w:sz w:val="20"/>
                <w:szCs w:val="20"/>
                <w:color w:val="auto"/>
              </w:rPr>
            </w:pPr>
            <w:r>
              <w:rPr>
                <w:rFonts w:ascii="Arial" w:cs="Arial" w:eastAsia="Arial" w:hAnsi="Arial"/>
                <w:sz w:val="13"/>
                <w:szCs w:val="13"/>
                <w:color w:val="auto"/>
              </w:rPr>
              <w:t>(2%)</w:t>
            </w:r>
          </w:p>
        </w:tc>
      </w:tr>
      <w:tr>
        <w:trPr>
          <w:trHeight w:val="148"/>
        </w:trPr>
        <w:tc>
          <w:tcPr>
            <w:tcW w:w="4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r>
      <w:tr>
        <w:trPr>
          <w:trHeight w:val="148"/>
        </w:trPr>
        <w:tc>
          <w:tcPr>
            <w:tcW w:w="4120" w:type="dxa"/>
            <w:vAlign w:val="bottom"/>
          </w:tcPr>
          <w:p>
            <w:pPr>
              <w:spacing w:after="0"/>
              <w:rPr>
                <w:sz w:val="20"/>
                <w:szCs w:val="20"/>
                <w:color w:val="auto"/>
              </w:rPr>
            </w:pPr>
            <w:r>
              <w:rPr>
                <w:rFonts w:ascii="Arial" w:cs="Arial" w:eastAsia="Arial" w:hAnsi="Arial"/>
                <w:sz w:val="13"/>
                <w:szCs w:val="13"/>
                <w:b w:val="1"/>
                <w:bCs w:val="1"/>
                <w:color w:val="auto"/>
              </w:rPr>
              <w:t>Operating income</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53"/>
              <w:spacing w:after="0"/>
              <w:rPr>
                <w:sz w:val="20"/>
                <w:szCs w:val="20"/>
                <w:color w:val="auto"/>
              </w:rPr>
            </w:pPr>
            <w:r>
              <w:rPr>
                <w:rFonts w:ascii="Arial" w:cs="Arial" w:eastAsia="Arial" w:hAnsi="Arial"/>
                <w:sz w:val="13"/>
                <w:szCs w:val="13"/>
                <w:color w:val="auto"/>
              </w:rPr>
              <w:t>92,120</w:t>
            </w:r>
          </w:p>
        </w:tc>
        <w:tc>
          <w:tcPr>
            <w:tcW w:w="380" w:type="dxa"/>
            <w:vAlign w:val="bottom"/>
            <w:gridSpan w:val="2"/>
          </w:tcPr>
          <w:p>
            <w:pPr>
              <w:jc w:val="right"/>
              <w:ind w:right="133"/>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53"/>
              <w:spacing w:after="0"/>
              <w:rPr>
                <w:sz w:val="20"/>
                <w:szCs w:val="20"/>
                <w:color w:val="auto"/>
              </w:rPr>
            </w:pPr>
            <w:r>
              <w:rPr>
                <w:rFonts w:ascii="Arial" w:cs="Arial" w:eastAsia="Arial" w:hAnsi="Arial"/>
                <w:sz w:val="13"/>
                <w:szCs w:val="13"/>
                <w:color w:val="auto"/>
              </w:rPr>
              <w:t>229,892</w:t>
            </w:r>
          </w:p>
        </w:tc>
        <w:tc>
          <w:tcPr>
            <w:tcW w:w="940" w:type="dxa"/>
            <w:vAlign w:val="bottom"/>
            <w:gridSpan w:val="2"/>
          </w:tcPr>
          <w:p>
            <w:pPr>
              <w:jc w:val="center"/>
              <w:ind w:left="33"/>
              <w:spacing w:after="0"/>
              <w:rPr>
                <w:sz w:val="20"/>
                <w:szCs w:val="20"/>
                <w:color w:val="auto"/>
              </w:rPr>
            </w:pPr>
            <w:r>
              <w:rPr>
                <w:rFonts w:ascii="Arial" w:cs="Arial" w:eastAsia="Arial" w:hAnsi="Arial"/>
                <w:sz w:val="13"/>
                <w:szCs w:val="13"/>
                <w:color w:val="auto"/>
              </w:rPr>
              <w:t>(60%)</w:t>
            </w:r>
          </w:p>
        </w:tc>
        <w:tc>
          <w:tcPr>
            <w:tcW w:w="340" w:type="dxa"/>
            <w:vAlign w:val="bottom"/>
            <w:gridSpan w:val="2"/>
          </w:tcPr>
          <w:p>
            <w:pPr>
              <w:jc w:val="right"/>
              <w:ind w:right="109"/>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53"/>
              <w:spacing w:after="0"/>
              <w:rPr>
                <w:sz w:val="20"/>
                <w:szCs w:val="20"/>
                <w:color w:val="auto"/>
              </w:rPr>
            </w:pPr>
            <w:r>
              <w:rPr>
                <w:rFonts w:ascii="Arial" w:cs="Arial" w:eastAsia="Arial" w:hAnsi="Arial"/>
                <w:sz w:val="13"/>
                <w:szCs w:val="13"/>
                <w:color w:val="auto"/>
              </w:rPr>
              <w:t>323,557</w:t>
            </w:r>
          </w:p>
        </w:tc>
        <w:tc>
          <w:tcPr>
            <w:tcW w:w="28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509,312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3"/>
                <w:szCs w:val="13"/>
                <w:color w:val="auto"/>
              </w:rPr>
              <w:t>(36%)</w:t>
            </w:r>
          </w:p>
        </w:tc>
      </w:tr>
      <w:tr>
        <w:trPr>
          <w:trHeight w:val="149"/>
        </w:trPr>
        <w:tc>
          <w:tcPr>
            <w:tcW w:w="4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r>
      <w:tr>
        <w:trPr>
          <w:trHeight w:val="148"/>
        </w:trPr>
        <w:tc>
          <w:tcPr>
            <w:tcW w:w="4120" w:type="dxa"/>
            <w:vAlign w:val="bottom"/>
          </w:tcPr>
          <w:p>
            <w:pPr>
              <w:spacing w:after="0"/>
              <w:rPr>
                <w:sz w:val="20"/>
                <w:szCs w:val="20"/>
                <w:color w:val="auto"/>
              </w:rPr>
            </w:pPr>
            <w:r>
              <w:rPr>
                <w:rFonts w:ascii="Arial" w:cs="Arial" w:eastAsia="Arial" w:hAnsi="Arial"/>
                <w:sz w:val="13"/>
                <w:szCs w:val="13"/>
                <w:color w:val="auto"/>
              </w:rPr>
              <w:t>Non-operating (expense) income</w:t>
            </w:r>
          </w:p>
        </w:tc>
        <w:tc>
          <w:tcPr>
            <w:tcW w:w="2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(38,196)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(37,961)</w:t>
            </w:r>
          </w:p>
        </w:tc>
        <w:tc>
          <w:tcPr>
            <w:tcW w:w="940" w:type="dxa"/>
            <w:vAlign w:val="bottom"/>
            <w:gridSpan w:val="2"/>
          </w:tcPr>
          <w:p>
            <w:pPr>
              <w:jc w:val="center"/>
              <w:ind w:left="33"/>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(107,999)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36,378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3"/>
                <w:szCs w:val="13"/>
                <w:color w:val="auto"/>
              </w:rPr>
              <w:t>***</w:t>
            </w:r>
          </w:p>
        </w:tc>
      </w:tr>
      <w:tr>
        <w:trPr>
          <w:trHeight w:val="148"/>
        </w:trPr>
        <w:tc>
          <w:tcPr>
            <w:tcW w:w="4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3"/>
                <w:szCs w:val="13"/>
                <w:color w:val="auto"/>
              </w:rPr>
              <w:t>Provision for income taxes</w:t>
            </w:r>
          </w:p>
        </w:tc>
        <w:tc>
          <w:tcPr>
            <w:tcW w:w="26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16,808</w:t>
            </w:r>
          </w:p>
        </w:tc>
        <w:tc>
          <w:tcPr>
            <w:tcW w:w="10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44,743</w:t>
            </w:r>
          </w:p>
        </w:tc>
        <w:tc>
          <w:tcPr>
            <w:tcW w:w="10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rPr>
              <w:t>(62%)</w:t>
            </w:r>
          </w:p>
        </w:tc>
        <w:tc>
          <w:tcPr>
            <w:tcW w:w="1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52,233</w:t>
            </w:r>
          </w:p>
        </w:tc>
        <w:tc>
          <w:tcPr>
            <w:tcW w:w="1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127,211</w:t>
            </w:r>
          </w:p>
        </w:tc>
        <w:tc>
          <w:tcPr>
            <w:tcW w:w="1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center"/>
              <w:ind w:right="113"/>
              <w:spacing w:after="0"/>
              <w:rPr>
                <w:sz w:val="20"/>
                <w:szCs w:val="20"/>
                <w:color w:val="auto"/>
              </w:rPr>
            </w:pPr>
            <w:r>
              <w:rPr>
                <w:rFonts w:ascii="Arial" w:cs="Arial" w:eastAsia="Arial" w:hAnsi="Arial"/>
                <w:sz w:val="13"/>
                <w:szCs w:val="13"/>
                <w:color w:val="auto"/>
              </w:rPr>
              <w:t>(59%)</w:t>
            </w:r>
          </w:p>
        </w:tc>
      </w:tr>
      <w:tr>
        <w:trPr>
          <w:trHeight w:val="142"/>
        </w:trPr>
        <w:tc>
          <w:tcPr>
            <w:tcW w:w="4120" w:type="dxa"/>
            <w:vAlign w:val="bottom"/>
          </w:tcPr>
          <w:p>
            <w:pPr>
              <w:spacing w:after="0" w:line="142" w:lineRule="exact"/>
              <w:rPr>
                <w:sz w:val="20"/>
                <w:szCs w:val="20"/>
                <w:color w:val="auto"/>
              </w:rPr>
            </w:pPr>
            <w:r>
              <w:rPr>
                <w:rFonts w:ascii="Arial" w:cs="Arial" w:eastAsia="Arial" w:hAnsi="Arial"/>
                <w:sz w:val="13"/>
                <w:szCs w:val="13"/>
                <w:b w:val="1"/>
                <w:bCs w:val="1"/>
                <w:color w:val="auto"/>
              </w:rPr>
              <w:t>Net income</w:t>
            </w:r>
          </w:p>
        </w:tc>
        <w:tc>
          <w:tcPr>
            <w:tcW w:w="260" w:type="dxa"/>
            <w:vAlign w:val="bottom"/>
          </w:tcPr>
          <w:p>
            <w:pPr>
              <w:spacing w:after="0"/>
              <w:rPr>
                <w:sz w:val="12"/>
                <w:szCs w:val="12"/>
                <w:color w:val="auto"/>
              </w:rPr>
            </w:pPr>
          </w:p>
        </w:tc>
        <w:tc>
          <w:tcPr>
            <w:tcW w:w="1080" w:type="dxa"/>
            <w:vAlign w:val="bottom"/>
          </w:tcPr>
          <w:p>
            <w:pPr>
              <w:jc w:val="right"/>
              <w:ind w:right="53"/>
              <w:spacing w:after="0" w:line="142" w:lineRule="exact"/>
              <w:rPr>
                <w:sz w:val="20"/>
                <w:szCs w:val="20"/>
                <w:color w:val="auto"/>
              </w:rPr>
            </w:pPr>
            <w:r>
              <w:rPr>
                <w:rFonts w:ascii="Arial" w:cs="Arial" w:eastAsia="Arial" w:hAnsi="Arial"/>
                <w:sz w:val="13"/>
                <w:szCs w:val="13"/>
                <w:color w:val="auto"/>
              </w:rPr>
              <w:t>37,116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53"/>
              <w:spacing w:after="0" w:line="142" w:lineRule="exact"/>
              <w:rPr>
                <w:sz w:val="20"/>
                <w:szCs w:val="20"/>
                <w:color w:val="auto"/>
              </w:rPr>
            </w:pPr>
            <w:r>
              <w:rPr>
                <w:rFonts w:ascii="Arial" w:cs="Arial" w:eastAsia="Arial" w:hAnsi="Arial"/>
                <w:sz w:val="13"/>
                <w:szCs w:val="13"/>
                <w:color w:val="auto"/>
              </w:rPr>
              <w:t>147,188</w:t>
            </w:r>
          </w:p>
        </w:tc>
        <w:tc>
          <w:tcPr>
            <w:tcW w:w="940" w:type="dxa"/>
            <w:vAlign w:val="bottom"/>
            <w:gridSpan w:val="2"/>
          </w:tcPr>
          <w:p>
            <w:pPr>
              <w:jc w:val="center"/>
              <w:ind w:left="33"/>
              <w:spacing w:after="0" w:line="142" w:lineRule="exact"/>
              <w:rPr>
                <w:sz w:val="20"/>
                <w:szCs w:val="20"/>
                <w:color w:val="auto"/>
              </w:rPr>
            </w:pPr>
            <w:r>
              <w:rPr>
                <w:rFonts w:ascii="Arial" w:cs="Arial" w:eastAsia="Arial" w:hAnsi="Arial"/>
                <w:sz w:val="13"/>
                <w:szCs w:val="13"/>
                <w:color w:val="auto"/>
              </w:rPr>
              <w:t>(75%)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53"/>
              <w:spacing w:after="0" w:line="142" w:lineRule="exact"/>
              <w:rPr>
                <w:sz w:val="20"/>
                <w:szCs w:val="20"/>
                <w:color w:val="auto"/>
              </w:rPr>
            </w:pPr>
            <w:r>
              <w:rPr>
                <w:rFonts w:ascii="Arial" w:cs="Arial" w:eastAsia="Arial" w:hAnsi="Arial"/>
                <w:sz w:val="13"/>
                <w:szCs w:val="13"/>
                <w:color w:val="auto"/>
              </w:rPr>
              <w:t>163,325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53"/>
              <w:spacing w:after="0" w:line="142" w:lineRule="exact"/>
              <w:rPr>
                <w:sz w:val="20"/>
                <w:szCs w:val="20"/>
                <w:color w:val="auto"/>
              </w:rPr>
            </w:pPr>
            <w:r>
              <w:rPr>
                <w:rFonts w:ascii="Arial" w:cs="Arial" w:eastAsia="Arial" w:hAnsi="Arial"/>
                <w:sz w:val="13"/>
                <w:szCs w:val="13"/>
                <w:color w:val="auto"/>
              </w:rPr>
              <w:t>418,479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113"/>
              <w:spacing w:after="0" w:line="142" w:lineRule="exact"/>
              <w:rPr>
                <w:sz w:val="20"/>
                <w:szCs w:val="20"/>
                <w:color w:val="auto"/>
              </w:rPr>
            </w:pPr>
            <w:r>
              <w:rPr>
                <w:rFonts w:ascii="Arial" w:cs="Arial" w:eastAsia="Arial" w:hAnsi="Arial"/>
                <w:sz w:val="13"/>
                <w:szCs w:val="13"/>
                <w:color w:val="auto"/>
              </w:rPr>
              <w:t>(61%)</w:t>
            </w:r>
          </w:p>
        </w:tc>
      </w:tr>
      <w:tr>
        <w:trPr>
          <w:trHeight w:val="148"/>
        </w:trPr>
        <w:tc>
          <w:tcPr>
            <w:tcW w:w="4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3"/>
                <w:szCs w:val="13"/>
                <w:color w:val="auto"/>
              </w:rPr>
              <w:t>Net loss attributable to redeemable noncontrolling interest</w:t>
            </w:r>
          </w:p>
        </w:tc>
        <w:tc>
          <w:tcPr>
            <w:tcW w:w="26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260</w:t>
            </w:r>
          </w:p>
        </w:tc>
        <w:tc>
          <w:tcPr>
            <w:tcW w:w="10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384</w:t>
            </w:r>
          </w:p>
        </w:tc>
        <w:tc>
          <w:tcPr>
            <w:tcW w:w="1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673</w:t>
            </w:r>
          </w:p>
        </w:tc>
        <w:tc>
          <w:tcPr>
            <w:tcW w:w="1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center"/>
              <w:ind w:right="113"/>
              <w:spacing w:after="0"/>
              <w:rPr>
                <w:sz w:val="20"/>
                <w:szCs w:val="20"/>
                <w:color w:val="auto"/>
              </w:rPr>
            </w:pPr>
            <w:r>
              <w:rPr>
                <w:rFonts w:ascii="Arial" w:cs="Arial" w:eastAsia="Arial" w:hAnsi="Arial"/>
                <w:sz w:val="13"/>
                <w:szCs w:val="13"/>
                <w:color w:val="auto"/>
              </w:rPr>
              <w:t>(43%)</w:t>
            </w:r>
          </w:p>
        </w:tc>
      </w:tr>
      <w:tr>
        <w:trPr>
          <w:trHeight w:val="142"/>
        </w:trPr>
        <w:tc>
          <w:tcPr>
            <w:tcW w:w="4120" w:type="dxa"/>
            <w:vAlign w:val="bottom"/>
          </w:tcPr>
          <w:p>
            <w:pPr>
              <w:spacing w:after="0" w:line="142" w:lineRule="exact"/>
              <w:rPr>
                <w:sz w:val="20"/>
                <w:szCs w:val="20"/>
                <w:color w:val="auto"/>
              </w:rPr>
            </w:pPr>
            <w:r>
              <w:rPr>
                <w:rFonts w:ascii="Arial" w:cs="Arial" w:eastAsia="Arial" w:hAnsi="Arial"/>
                <w:sz w:val="13"/>
                <w:szCs w:val="13"/>
                <w:b w:val="1"/>
                <w:bCs w:val="1"/>
                <w:i w:val="1"/>
                <w:iCs w:val="1"/>
                <w:color w:val="auto"/>
              </w:rPr>
              <w:t>Net income attributable to TEGNA Inc.</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53"/>
              <w:spacing w:after="0" w:line="142" w:lineRule="exact"/>
              <w:rPr>
                <w:sz w:val="20"/>
                <w:szCs w:val="20"/>
                <w:color w:val="auto"/>
              </w:rPr>
            </w:pPr>
            <w:r>
              <w:rPr>
                <w:rFonts w:ascii="Arial" w:cs="Arial" w:eastAsia="Arial" w:hAnsi="Arial"/>
                <w:sz w:val="13"/>
                <w:szCs w:val="13"/>
                <w:color w:val="auto"/>
              </w:rPr>
              <w:t>37,116</w:t>
            </w:r>
          </w:p>
        </w:tc>
        <w:tc>
          <w:tcPr>
            <w:tcW w:w="380" w:type="dxa"/>
            <w:vAlign w:val="bottom"/>
            <w:gridSpan w:val="2"/>
          </w:tcPr>
          <w:p>
            <w:pPr>
              <w:jc w:val="right"/>
              <w:ind w:right="133"/>
              <w:spacing w:after="0" w:line="142" w:lineRule="exact"/>
              <w:rPr>
                <w:sz w:val="20"/>
                <w:szCs w:val="20"/>
                <w:color w:val="auto"/>
              </w:rPr>
            </w:pPr>
            <w:r>
              <w:rPr>
                <w:rFonts w:ascii="Arial" w:cs="Arial" w:eastAsia="Arial" w:hAnsi="Arial"/>
                <w:sz w:val="13"/>
                <w:szCs w:val="13"/>
                <w:color w:val="auto"/>
              </w:rPr>
              <w:t>$</w:t>
            </w:r>
          </w:p>
        </w:tc>
        <w:tc>
          <w:tcPr>
            <w:tcW w:w="1080" w:type="dxa"/>
            <w:vAlign w:val="bottom"/>
          </w:tcPr>
          <w:p>
            <w:pPr>
              <w:jc w:val="right"/>
              <w:ind w:right="53"/>
              <w:spacing w:after="0" w:line="142" w:lineRule="exact"/>
              <w:rPr>
                <w:sz w:val="20"/>
                <w:szCs w:val="20"/>
                <w:color w:val="auto"/>
              </w:rPr>
            </w:pPr>
            <w:r>
              <w:rPr>
                <w:rFonts w:ascii="Arial" w:cs="Arial" w:eastAsia="Arial" w:hAnsi="Arial"/>
                <w:sz w:val="13"/>
                <w:szCs w:val="13"/>
                <w:color w:val="auto"/>
              </w:rPr>
              <w:t>147,448</w:t>
            </w:r>
          </w:p>
        </w:tc>
        <w:tc>
          <w:tcPr>
            <w:tcW w:w="940" w:type="dxa"/>
            <w:vAlign w:val="bottom"/>
            <w:gridSpan w:val="2"/>
          </w:tcPr>
          <w:p>
            <w:pPr>
              <w:jc w:val="center"/>
              <w:ind w:left="33"/>
              <w:spacing w:after="0" w:line="142" w:lineRule="exact"/>
              <w:rPr>
                <w:sz w:val="20"/>
                <w:szCs w:val="20"/>
                <w:color w:val="auto"/>
              </w:rPr>
            </w:pPr>
            <w:r>
              <w:rPr>
                <w:rFonts w:ascii="Arial" w:cs="Arial" w:eastAsia="Arial" w:hAnsi="Arial"/>
                <w:sz w:val="13"/>
                <w:szCs w:val="13"/>
                <w:color w:val="auto"/>
              </w:rPr>
              <w:t>(75%)</w:t>
            </w:r>
          </w:p>
        </w:tc>
        <w:tc>
          <w:tcPr>
            <w:tcW w:w="340" w:type="dxa"/>
            <w:vAlign w:val="bottom"/>
            <w:gridSpan w:val="2"/>
          </w:tcPr>
          <w:p>
            <w:pPr>
              <w:jc w:val="right"/>
              <w:ind w:right="109"/>
              <w:spacing w:after="0" w:line="142"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53"/>
              <w:spacing w:after="0" w:line="142" w:lineRule="exact"/>
              <w:rPr>
                <w:sz w:val="20"/>
                <w:szCs w:val="20"/>
                <w:color w:val="auto"/>
              </w:rPr>
            </w:pPr>
            <w:r>
              <w:rPr>
                <w:rFonts w:ascii="Arial" w:cs="Arial" w:eastAsia="Arial" w:hAnsi="Arial"/>
                <w:sz w:val="13"/>
                <w:szCs w:val="13"/>
                <w:color w:val="auto"/>
              </w:rPr>
              <w:t>163,709</w:t>
            </w:r>
          </w:p>
        </w:tc>
        <w:tc>
          <w:tcPr>
            <w:tcW w:w="280" w:type="dxa"/>
            <w:vAlign w:val="bottom"/>
            <w:gridSpan w:val="2"/>
          </w:tcPr>
          <w:p>
            <w:pPr>
              <w:jc w:val="right"/>
              <w:ind w:right="33"/>
              <w:spacing w:after="0" w:line="142"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line="142" w:lineRule="exact"/>
              <w:rPr>
                <w:sz w:val="20"/>
                <w:szCs w:val="20"/>
                <w:color w:val="auto"/>
              </w:rPr>
            </w:pPr>
            <w:r>
              <w:rPr>
                <w:rFonts w:ascii="Arial" w:cs="Arial" w:eastAsia="Arial" w:hAnsi="Arial"/>
                <w:sz w:val="13"/>
                <w:szCs w:val="13"/>
                <w:color w:val="auto"/>
              </w:rPr>
              <w:t>419,152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113"/>
              <w:spacing w:after="0" w:line="142" w:lineRule="exact"/>
              <w:rPr>
                <w:sz w:val="20"/>
                <w:szCs w:val="20"/>
                <w:color w:val="auto"/>
              </w:rPr>
            </w:pPr>
            <w:r>
              <w:rPr>
                <w:rFonts w:ascii="Arial" w:cs="Arial" w:eastAsia="Arial" w:hAnsi="Arial"/>
                <w:sz w:val="13"/>
                <w:szCs w:val="13"/>
                <w:color w:val="auto"/>
              </w:rPr>
              <w:t>(61%)</w:t>
            </w:r>
          </w:p>
        </w:tc>
      </w:tr>
      <w:tr>
        <w:trPr>
          <w:trHeight w:val="20"/>
        </w:trPr>
        <w:tc>
          <w:tcPr>
            <w:tcW w:w="4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4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r>
      <w:tr>
        <w:trPr>
          <w:trHeight w:val="148"/>
        </w:trPr>
        <w:tc>
          <w:tcPr>
            <w:tcW w:w="4120" w:type="dxa"/>
            <w:vAlign w:val="bottom"/>
          </w:tcPr>
          <w:p>
            <w:pPr>
              <w:spacing w:after="0"/>
              <w:rPr>
                <w:sz w:val="20"/>
                <w:szCs w:val="20"/>
                <w:color w:val="auto"/>
              </w:rPr>
            </w:pPr>
            <w:r>
              <w:rPr>
                <w:rFonts w:ascii="Arial" w:cs="Arial" w:eastAsia="Arial" w:hAnsi="Arial"/>
                <w:sz w:val="13"/>
                <w:szCs w:val="13"/>
                <w:color w:val="auto"/>
              </w:rPr>
              <w:t>Net Income per share - basic</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53"/>
              <w:spacing w:after="0"/>
              <w:rPr>
                <w:sz w:val="20"/>
                <w:szCs w:val="20"/>
                <w:color w:val="auto"/>
              </w:rPr>
            </w:pPr>
            <w:r>
              <w:rPr>
                <w:rFonts w:ascii="Arial" w:cs="Arial" w:eastAsia="Arial" w:hAnsi="Arial"/>
                <w:sz w:val="13"/>
                <w:szCs w:val="13"/>
                <w:color w:val="auto"/>
              </w:rPr>
              <w:t>0.23</w:t>
            </w:r>
          </w:p>
        </w:tc>
        <w:tc>
          <w:tcPr>
            <w:tcW w:w="380" w:type="dxa"/>
            <w:vAlign w:val="bottom"/>
            <w:gridSpan w:val="2"/>
          </w:tcPr>
          <w:p>
            <w:pPr>
              <w:jc w:val="right"/>
              <w:ind w:right="133"/>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53"/>
              <w:spacing w:after="0"/>
              <w:rPr>
                <w:sz w:val="20"/>
                <w:szCs w:val="20"/>
                <w:color w:val="auto"/>
              </w:rPr>
            </w:pPr>
            <w:r>
              <w:rPr>
                <w:rFonts w:ascii="Arial" w:cs="Arial" w:eastAsia="Arial" w:hAnsi="Arial"/>
                <w:sz w:val="13"/>
                <w:szCs w:val="13"/>
                <w:color w:val="auto"/>
              </w:rPr>
              <w:t>0.89</w:t>
            </w:r>
          </w:p>
        </w:tc>
        <w:tc>
          <w:tcPr>
            <w:tcW w:w="940" w:type="dxa"/>
            <w:vAlign w:val="bottom"/>
            <w:gridSpan w:val="2"/>
          </w:tcPr>
          <w:p>
            <w:pPr>
              <w:jc w:val="center"/>
              <w:ind w:left="33"/>
              <w:spacing w:after="0"/>
              <w:rPr>
                <w:sz w:val="20"/>
                <w:szCs w:val="20"/>
                <w:color w:val="auto"/>
              </w:rPr>
            </w:pPr>
            <w:r>
              <w:rPr>
                <w:rFonts w:ascii="Arial" w:cs="Arial" w:eastAsia="Arial" w:hAnsi="Arial"/>
                <w:sz w:val="13"/>
                <w:szCs w:val="13"/>
                <w:color w:val="auto"/>
              </w:rPr>
              <w:t>(74%)</w:t>
            </w:r>
          </w:p>
        </w:tc>
        <w:tc>
          <w:tcPr>
            <w:tcW w:w="340" w:type="dxa"/>
            <w:vAlign w:val="bottom"/>
            <w:gridSpan w:val="2"/>
          </w:tcPr>
          <w:p>
            <w:pPr>
              <w:jc w:val="right"/>
              <w:ind w:right="109"/>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53"/>
              <w:spacing w:after="0"/>
              <w:rPr>
                <w:sz w:val="20"/>
                <w:szCs w:val="20"/>
                <w:color w:val="auto"/>
              </w:rPr>
            </w:pPr>
            <w:r>
              <w:rPr>
                <w:rFonts w:ascii="Arial" w:cs="Arial" w:eastAsia="Arial" w:hAnsi="Arial"/>
                <w:sz w:val="13"/>
                <w:szCs w:val="13"/>
                <w:color w:val="auto"/>
              </w:rPr>
              <w:t>1.01</w:t>
            </w:r>
          </w:p>
        </w:tc>
        <w:tc>
          <w:tcPr>
            <w:tcW w:w="28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2.44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3"/>
                <w:szCs w:val="13"/>
                <w:color w:val="auto"/>
              </w:rPr>
              <w:t>(59%)</w:t>
            </w:r>
          </w:p>
        </w:tc>
      </w:tr>
      <w:tr>
        <w:trPr>
          <w:trHeight w:val="148"/>
        </w:trPr>
        <w:tc>
          <w:tcPr>
            <w:tcW w:w="4120" w:type="dxa"/>
            <w:vAlign w:val="bottom"/>
            <w:shd w:val="clear" w:color="auto" w:fill="CFF0FC"/>
          </w:tcPr>
          <w:p>
            <w:pPr>
              <w:spacing w:after="0"/>
              <w:rPr>
                <w:sz w:val="20"/>
                <w:szCs w:val="20"/>
                <w:color w:val="auto"/>
              </w:rPr>
            </w:pPr>
            <w:r>
              <w:rPr>
                <w:rFonts w:ascii="Arial" w:cs="Arial" w:eastAsia="Arial" w:hAnsi="Arial"/>
                <w:sz w:val="13"/>
                <w:szCs w:val="13"/>
                <w:color w:val="auto"/>
              </w:rPr>
              <w:t>Net Income per share - diluted</w:t>
            </w:r>
          </w:p>
        </w:tc>
        <w:tc>
          <w:tcPr>
            <w:tcW w:w="260" w:type="dxa"/>
            <w:vAlign w:val="bottom"/>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0.23</w:t>
            </w:r>
          </w:p>
        </w:tc>
        <w:tc>
          <w:tcPr>
            <w:tcW w:w="380" w:type="dxa"/>
            <w:vAlign w:val="bottom"/>
            <w:gridSpan w:val="2"/>
            <w:shd w:val="clear" w:color="auto" w:fill="CFF0FC"/>
          </w:tcPr>
          <w:p>
            <w:pPr>
              <w:jc w:val="right"/>
              <w:ind w:right="133"/>
              <w:spacing w:after="0"/>
              <w:rPr>
                <w:sz w:val="20"/>
                <w:szCs w:val="20"/>
                <w:color w:val="auto"/>
              </w:rPr>
            </w:pPr>
            <w:r>
              <w:rPr>
                <w:rFonts w:ascii="Arial" w:cs="Arial" w:eastAsia="Arial" w:hAnsi="Arial"/>
                <w:sz w:val="13"/>
                <w:szCs w:val="13"/>
                <w:color w:val="auto"/>
              </w:rPr>
              <w:t>$</w:t>
            </w:r>
          </w:p>
        </w:tc>
        <w:tc>
          <w:tcPr>
            <w:tcW w:w="108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0.89</w:t>
            </w:r>
          </w:p>
        </w:tc>
        <w:tc>
          <w:tcPr>
            <w:tcW w:w="940" w:type="dxa"/>
            <w:vAlign w:val="bottom"/>
            <w:gridSpan w:val="2"/>
            <w:shd w:val="clear" w:color="auto" w:fill="CFF0FC"/>
          </w:tcPr>
          <w:p>
            <w:pPr>
              <w:jc w:val="center"/>
              <w:ind w:left="33"/>
              <w:spacing w:after="0"/>
              <w:rPr>
                <w:sz w:val="20"/>
                <w:szCs w:val="20"/>
                <w:color w:val="auto"/>
              </w:rPr>
            </w:pPr>
            <w:r>
              <w:rPr>
                <w:rFonts w:ascii="Arial" w:cs="Arial" w:eastAsia="Arial" w:hAnsi="Arial"/>
                <w:sz w:val="13"/>
                <w:szCs w:val="13"/>
                <w:color w:val="auto"/>
              </w:rPr>
              <w:t>(74%)</w:t>
            </w:r>
          </w:p>
        </w:tc>
        <w:tc>
          <w:tcPr>
            <w:tcW w:w="340" w:type="dxa"/>
            <w:vAlign w:val="bottom"/>
            <w:gridSpan w:val="2"/>
            <w:shd w:val="clear" w:color="auto" w:fill="CFF0FC"/>
          </w:tcPr>
          <w:p>
            <w:pPr>
              <w:jc w:val="right"/>
              <w:ind w:right="109"/>
              <w:spacing w:after="0"/>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1.00</w:t>
            </w:r>
          </w:p>
        </w:tc>
        <w:tc>
          <w:tcPr>
            <w:tcW w:w="280" w:type="dxa"/>
            <w:vAlign w:val="bottom"/>
            <w:gridSpan w:val="2"/>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2.44</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center"/>
              <w:ind w:right="113"/>
              <w:spacing w:after="0"/>
              <w:rPr>
                <w:sz w:val="20"/>
                <w:szCs w:val="20"/>
                <w:color w:val="auto"/>
              </w:rPr>
            </w:pPr>
            <w:r>
              <w:rPr>
                <w:rFonts w:ascii="Arial" w:cs="Arial" w:eastAsia="Arial" w:hAnsi="Arial"/>
                <w:sz w:val="13"/>
                <w:szCs w:val="13"/>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-1191260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-607695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-607695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-607695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-607695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-607695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-410845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-410845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-410845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-410845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-410845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Not meaningful</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Revenues</w:t>
      </w:r>
    </w:p>
    <w:p>
      <w:pPr>
        <w:spacing w:after="0" w:line="167" w:lineRule="exact"/>
        <w:rPr>
          <w:sz w:val="20"/>
          <w:szCs w:val="20"/>
          <w:color w:val="auto"/>
        </w:rPr>
      </w:pPr>
    </w:p>
    <w:p>
      <w:pPr>
        <w:ind w:right="80" w:firstLine="374"/>
        <w:spacing w:after="0" w:line="252" w:lineRule="auto"/>
        <w:rPr>
          <w:sz w:val="20"/>
          <w:szCs w:val="20"/>
          <w:color w:val="auto"/>
        </w:rPr>
      </w:pPr>
      <w:r>
        <w:rPr>
          <w:rFonts w:ascii="Arial" w:cs="Arial" w:eastAsia="Arial" w:hAnsi="Arial"/>
          <w:sz w:val="16"/>
          <w:szCs w:val="16"/>
          <w:color w:val="auto"/>
        </w:rPr>
        <w:t>Our revenues and operating results are subject to seasonal fluctuations. Generally, our second and fourth quarter advertising revenues are stronger than those we report for the first and third quarters. This is driven by the second quarter reflecting increased spring seasonal advertising, while the fourth quarter typically includes increased advertising related to the holiday season. In addition, our revenue and operating results are subject to significant fluctuations across yearly periods due to the cyclical nature of political advertising. In even numbered years, political spending is usually significantly higher than in odd numbered years due to advertising for the local, state and national elections. Additionally, every four years, we typically experience even greater increases in political advertising in connection with the presidential election. The strong demand for advertising from political advertisers in even years can result in the significant use of our available inventory (leading to a “crowd out” effect), which can diminish our AMS revenue in the even year of a two-year election cycle, particularly in the fourth quarter of those years.</w:t>
      </w:r>
    </w:p>
    <w:p>
      <w:pPr>
        <w:spacing w:after="0" w:line="156" w:lineRule="exact"/>
        <w:rPr>
          <w:sz w:val="20"/>
          <w:szCs w:val="20"/>
          <w:color w:val="auto"/>
        </w:rPr>
      </w:pPr>
    </w:p>
    <w:p>
      <w:pPr>
        <w:ind w:right="220" w:firstLine="374"/>
        <w:spacing w:after="0" w:line="259" w:lineRule="auto"/>
        <w:rPr>
          <w:sz w:val="20"/>
          <w:szCs w:val="20"/>
          <w:color w:val="auto"/>
        </w:rPr>
      </w:pPr>
      <w:r>
        <w:rPr>
          <w:rFonts w:ascii="Arial" w:cs="Arial" w:eastAsia="Arial" w:hAnsi="Arial"/>
          <w:sz w:val="16"/>
          <w:szCs w:val="16"/>
          <w:color w:val="auto"/>
        </w:rPr>
        <w:t>Beginning in the first quarter of 2025, we renamed our subscription revenue to now be called distribution revenue and expanded it to include other distribution revenues formerly reported in Other revenues and AMS revenues. This new presentation results in the consolidated disclosure of the amounts we earn from all sources of content and programming distribution. We have recast the prior year amounts, which were immaterial, to conform to this new presentation.</w:t>
      </w:r>
    </w:p>
    <w:p>
      <w:pPr>
        <w:spacing w:after="0" w:line="15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summarizes the year-over-year changes in our revenue categories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Quarter ended Sept. 30,</w:t>
            </w: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gridSpan w:val="6"/>
          </w:tcPr>
          <w:p>
            <w:pPr>
              <w:ind w:left="640"/>
              <w:spacing w:after="0"/>
              <w:rPr>
                <w:sz w:val="20"/>
                <w:szCs w:val="20"/>
                <w:color w:val="auto"/>
              </w:rPr>
            </w:pPr>
            <w:r>
              <w:rPr>
                <w:rFonts w:ascii="Arial" w:cs="Arial" w:eastAsia="Arial" w:hAnsi="Arial"/>
                <w:sz w:val="16"/>
                <w:szCs w:val="16"/>
                <w:b w:val="1"/>
                <w:bCs w:val="1"/>
                <w:color w:val="auto"/>
              </w:rPr>
              <w:t>Nine months ended Sept. 30,</w:t>
            </w:r>
          </w:p>
        </w:tc>
      </w:tr>
      <w:tr>
        <w:trPr>
          <w:trHeight w:val="183"/>
        </w:trPr>
        <w:tc>
          <w:tcPr>
            <w:tcW w:w="30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c>
          <w:tcPr>
            <w:tcW w:w="1020" w:type="dxa"/>
            <w:vAlign w:val="bottom"/>
            <w:tcBorders>
              <w:bottom w:val="single" w:sz="8" w:color="auto"/>
            </w:tcBorders>
          </w:tcPr>
          <w:p>
            <w:pPr>
              <w:ind w:left="200"/>
              <w:spacing w:after="0" w:line="183" w:lineRule="exact"/>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c>
          <w:tcPr>
            <w:tcW w:w="1300" w:type="dxa"/>
            <w:vAlign w:val="bottom"/>
            <w:tcBorders>
              <w:bottom w:val="single" w:sz="8" w:color="auto"/>
            </w:tcBorders>
          </w:tcPr>
          <w:p>
            <w:pPr>
              <w:ind w:left="340"/>
              <w:spacing w:after="0" w:line="183" w:lineRule="exact"/>
              <w:rPr>
                <w:sz w:val="20"/>
                <w:szCs w:val="20"/>
                <w:color w:val="auto"/>
              </w:rPr>
            </w:pPr>
            <w:r>
              <w:rPr>
                <w:rFonts w:ascii="Arial" w:cs="Arial" w:eastAsia="Arial" w:hAnsi="Arial"/>
                <w:sz w:val="16"/>
                <w:szCs w:val="16"/>
                <w:b w:val="1"/>
                <w:bCs w:val="1"/>
                <w:color w:val="auto"/>
              </w:rPr>
              <w:t>Change</w:t>
            </w:r>
          </w:p>
        </w:tc>
      </w:tr>
      <w:tr>
        <w:trPr>
          <w:trHeight w:val="183"/>
        </w:trPr>
        <w:tc>
          <w:tcPr>
            <w:tcW w:w="3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9"/>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Distribution</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358,451</w:t>
            </w: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361,585</w:t>
            </w:r>
          </w:p>
        </w:tc>
        <w:tc>
          <w:tcPr>
            <w:tcW w:w="1120" w:type="dxa"/>
            <w:vAlign w:val="bottom"/>
            <w:gridSpan w:val="2"/>
            <w:shd w:val="clear" w:color="auto" w:fill="CFF0FC"/>
          </w:tcPr>
          <w:p>
            <w:pPr>
              <w:jc w:val="center"/>
              <w:ind w:left="19"/>
              <w:spacing w:after="0"/>
              <w:rPr>
                <w:sz w:val="20"/>
                <w:szCs w:val="20"/>
                <w:color w:val="auto"/>
              </w:rPr>
            </w:pPr>
            <w:r>
              <w:rPr>
                <w:rFonts w:ascii="Arial" w:cs="Arial" w:eastAsia="Arial" w:hAnsi="Arial"/>
                <w:sz w:val="16"/>
                <w:szCs w:val="16"/>
                <w:color w:val="auto"/>
              </w:rPr>
              <w:t>(1%)</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1,107,584</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1,113,292</w:t>
            </w:r>
          </w:p>
        </w:tc>
        <w:tc>
          <w:tcPr>
            <w:tcW w:w="1400" w:type="dxa"/>
            <w:vAlign w:val="bottom"/>
            <w:gridSpan w:val="2"/>
            <w:shd w:val="clear" w:color="auto" w:fill="CFF0FC"/>
          </w:tcPr>
          <w:p>
            <w:pPr>
              <w:jc w:val="center"/>
              <w:ind w:left="19"/>
              <w:spacing w:after="0"/>
              <w:rPr>
                <w:sz w:val="20"/>
                <w:szCs w:val="20"/>
                <w:color w:val="auto"/>
              </w:rPr>
            </w:pPr>
            <w:r>
              <w:rPr>
                <w:rFonts w:ascii="Arial" w:cs="Arial" w:eastAsia="Arial" w:hAnsi="Arial"/>
                <w:sz w:val="16"/>
                <w:szCs w:val="16"/>
                <w:color w:val="auto"/>
              </w:rPr>
              <w:t>(1%)</w:t>
            </w: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Advertising &amp; Marketing Services</w:t>
            </w:r>
          </w:p>
        </w:tc>
        <w:tc>
          <w:tcPr>
            <w:tcW w:w="28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273,378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309,661</w:t>
            </w: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847,631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904,299</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rPr>
              <w:t>(6%)</w:t>
            </w:r>
          </w:p>
        </w:tc>
      </w:tr>
      <w:tr>
        <w:trPr>
          <w:trHeight w:val="189"/>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Political</w:t>
            </w: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9,881</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126,318</w:t>
            </w:r>
          </w:p>
        </w:tc>
        <w:tc>
          <w:tcPr>
            <w:tcW w:w="112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21,689</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185,789</w:t>
            </w:r>
          </w:p>
        </w:tc>
        <w:tc>
          <w:tcPr>
            <w:tcW w:w="140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(88%)</w:t>
            </w:r>
          </w:p>
        </w:tc>
      </w:tr>
      <w:tr>
        <w:trPr>
          <w:trHeight w:val="189"/>
        </w:trPr>
        <w:tc>
          <w:tcPr>
            <w:tcW w:w="3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9,081</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9,263</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28,981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28,062</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w:t>
            </w:r>
          </w:p>
        </w:tc>
      </w:tr>
      <w:tr>
        <w:trPr>
          <w:trHeight w:val="203"/>
        </w:trPr>
        <w:tc>
          <w:tcPr>
            <w:tcW w:w="30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Total revenues</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650,791</w:t>
            </w:r>
          </w:p>
        </w:tc>
        <w:tc>
          <w:tcPr>
            <w:tcW w:w="40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806,827</w:t>
            </w:r>
          </w:p>
        </w:tc>
        <w:tc>
          <w:tcPr>
            <w:tcW w:w="1120" w:type="dxa"/>
            <w:vAlign w:val="bottom"/>
            <w:gridSpan w:val="2"/>
            <w:shd w:val="clear" w:color="auto" w:fill="CFF0FC"/>
          </w:tcPr>
          <w:p>
            <w:pPr>
              <w:jc w:val="center"/>
              <w:spacing w:after="0" w:line="183" w:lineRule="exact"/>
              <w:rPr>
                <w:sz w:val="20"/>
                <w:szCs w:val="20"/>
                <w:color w:val="auto"/>
              </w:rPr>
            </w:pPr>
            <w:r>
              <w:rPr>
                <w:rFonts w:ascii="Arial" w:cs="Arial" w:eastAsia="Arial" w:hAnsi="Arial"/>
                <w:sz w:val="16"/>
                <w:szCs w:val="16"/>
                <w:color w:val="auto"/>
              </w:rPr>
              <w:t>(19%)</w:t>
            </w:r>
          </w:p>
        </w:tc>
        <w:tc>
          <w:tcPr>
            <w:tcW w:w="34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2,005,885</w:t>
            </w:r>
          </w:p>
        </w:tc>
        <w:tc>
          <w:tcPr>
            <w:tcW w:w="34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2,231,442</w:t>
            </w:r>
          </w:p>
        </w:tc>
        <w:tc>
          <w:tcPr>
            <w:tcW w:w="1400" w:type="dxa"/>
            <w:vAlign w:val="bottom"/>
            <w:gridSpan w:val="2"/>
            <w:shd w:val="clear" w:color="auto" w:fill="CFF0FC"/>
          </w:tcPr>
          <w:p>
            <w:pPr>
              <w:jc w:val="center"/>
              <w:spacing w:after="0" w:line="183" w:lineRule="exact"/>
              <w:rPr>
                <w:sz w:val="20"/>
                <w:szCs w:val="20"/>
                <w:color w:val="auto"/>
              </w:rPr>
            </w:pPr>
            <w:r>
              <w:rPr>
                <w:rFonts w:ascii="Arial" w:cs="Arial" w:eastAsia="Arial" w:hAnsi="Arial"/>
                <w:sz w:val="16"/>
                <w:szCs w:val="16"/>
                <w:color w:val="auto"/>
              </w:rPr>
              <w:t>(10%)</w:t>
            </w:r>
          </w:p>
        </w:tc>
      </w:tr>
      <w:tr>
        <w:trPr>
          <w:trHeight w:val="20"/>
        </w:trPr>
        <w:tc>
          <w:tcPr>
            <w:tcW w:w="30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-24765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-8255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-24765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-8255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-24765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-8255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5" w:lineRule="exact"/>
        <w:rPr>
          <w:sz w:val="20"/>
          <w:szCs w:val="20"/>
          <w:color w:val="auto"/>
        </w:rPr>
      </w:pPr>
    </w:p>
    <w:p>
      <w:pPr>
        <w:ind w:right="60" w:firstLine="374"/>
        <w:spacing w:after="0" w:line="252" w:lineRule="auto"/>
        <w:rPr>
          <w:sz w:val="20"/>
          <w:szCs w:val="20"/>
          <w:color w:val="auto"/>
        </w:rPr>
      </w:pPr>
      <w:r>
        <w:rPr>
          <w:rFonts w:ascii="Arial" w:cs="Arial" w:eastAsia="Arial" w:hAnsi="Arial"/>
          <w:sz w:val="16"/>
          <w:szCs w:val="16"/>
          <w:color w:val="auto"/>
        </w:rPr>
        <w:t>Total revenues decreased $156.0 million in the third quarter of 2025 and $225.6 million in the first nine months of 2025 compared to the same periods in 2024. The net decreases were primarily driven by a decline in political revenue ($116.4 million third quarter, $164.1 million first nine months) consistent with cyclical even-to-odd year comparisons. AMS revenue was also down ($36.3 million third quarter, $56.7 million first nine months), driven primarily due to ongoing macroeconomic challenges, the absence of Summer Olympic games, and lower Premion-related revenue following Gray Media’s exit as an exclusive reseller partner, partially offset by growth from local sports rights and local digital growth. Distribution revenue was down ($3.1 million third quarter, $5.7 million first nine months) due to subscriber declines, partially offset by contractual rate increases and the impact of distributor renewals. The net decline for the nine-month period was partially offset by the absence in 2025 of a temporary disruption of service with a distribution partner which was successfully resolved on January 13, 2024.</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Cost of revenues</w:t>
      </w:r>
    </w:p>
    <w:p>
      <w:pPr>
        <w:spacing w:after="0" w:line="194" w:lineRule="exact"/>
        <w:rPr>
          <w:sz w:val="20"/>
          <w:szCs w:val="20"/>
          <w:color w:val="auto"/>
        </w:rPr>
      </w:pPr>
    </w:p>
    <w:p>
      <w:pPr>
        <w:ind w:firstLine="374"/>
        <w:spacing w:after="0" w:line="254" w:lineRule="auto"/>
        <w:rPr>
          <w:sz w:val="20"/>
          <w:szCs w:val="20"/>
          <w:color w:val="auto"/>
        </w:rPr>
      </w:pPr>
      <w:r>
        <w:rPr>
          <w:rFonts w:ascii="Arial" w:cs="Arial" w:eastAsia="Arial" w:hAnsi="Arial"/>
          <w:sz w:val="16"/>
          <w:szCs w:val="16"/>
          <w:color w:val="auto"/>
        </w:rPr>
        <w:t>Cost of revenues decreased $15.7 million in the third quarter of 2025 and $14.5 million in the first nine months of 2025 compared to the same periods in 2024. The third quarter net decrease was primarily due to a $13.1 million decline in digital ad serving and platform fees and a $6.8 million decline in employee compensation costs, driven by core operational cost-cutting initiatives. These declines were partially offset by an increase in programming costs of $4.2 million, primarily associated with the costs of sports rights deals. The net decrease for the first nine months was primarily due to a $23.1 million decline in employee compensation and a $14.2 million decrease in digital ad serving and platform fees, partially offset by $22.1 million increase in programming costs, primarily due to sports rights deals.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units - Selling, general and administrative expenses</w:t>
      </w:r>
    </w:p>
    <w:p>
      <w:pPr>
        <w:spacing w:after="0" w:line="194" w:lineRule="exact"/>
        <w:rPr>
          <w:sz w:val="20"/>
          <w:szCs w:val="20"/>
          <w:color w:val="auto"/>
        </w:rPr>
      </w:pPr>
    </w:p>
    <w:p>
      <w:pPr>
        <w:ind w:right="80" w:firstLine="374"/>
        <w:spacing w:after="0" w:line="256" w:lineRule="auto"/>
        <w:rPr>
          <w:sz w:val="20"/>
          <w:szCs w:val="20"/>
          <w:color w:val="auto"/>
        </w:rPr>
      </w:pPr>
      <w:r>
        <w:rPr>
          <w:rFonts w:ascii="Arial" w:cs="Arial" w:eastAsia="Arial" w:hAnsi="Arial"/>
          <w:sz w:val="16"/>
          <w:szCs w:val="16"/>
          <w:color w:val="auto"/>
        </w:rPr>
        <w:t>Business unit selling, general and administrative expenses decreased $7.0 million in the third quarter of 2025 and $13.6 million in the first nine months of 2025 compared to the same periods in 2024. The third quarter net decrease was primarily due to a $10.4 million decrease in employee compensation, primarily driven by cost-cutting initiatives, partially offset by a $5.3 million increase in professional services fees. The net decrease in the first nine months was primarily due to declines of $20.0 million in employee compensation and $1.8 million in bad debt expense, partially offset by an increase of $7.0 million in advertising costs and $3.6 million in professional services fees.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 General and administrative expenses</w:t>
      </w:r>
    </w:p>
    <w:p>
      <w:pPr>
        <w:spacing w:after="0" w:line="194" w:lineRule="exact"/>
        <w:rPr>
          <w:sz w:val="20"/>
          <w:szCs w:val="20"/>
          <w:color w:val="auto"/>
        </w:rPr>
      </w:pPr>
    </w:p>
    <w:p>
      <w:pPr>
        <w:jc w:val="both"/>
        <w:ind w:right="200" w:firstLine="374"/>
        <w:spacing w:after="0" w:line="286" w:lineRule="auto"/>
        <w:rPr>
          <w:sz w:val="20"/>
          <w:szCs w:val="20"/>
          <w:color w:val="auto"/>
        </w:rPr>
      </w:pPr>
      <w:r>
        <w:rPr>
          <w:rFonts w:ascii="Arial" w:cs="Arial" w:eastAsia="Arial" w:hAnsi="Arial"/>
          <w:sz w:val="16"/>
          <w:szCs w:val="16"/>
          <w:color w:val="auto"/>
        </w:rPr>
        <w:t>Our corporate costs are separated from our direct business expenses and are recorded as general and administrative expenses in our Consolidated Statements of Income. This category primarily consists of corporate management and support functions including Legal, Human Resources, and Finance.</w:t>
      </w:r>
    </w:p>
    <w:p>
      <w:pPr>
        <w:spacing w:after="0" w:line="129" w:lineRule="exact"/>
        <w:rPr>
          <w:sz w:val="20"/>
          <w:szCs w:val="20"/>
          <w:color w:val="auto"/>
        </w:rPr>
      </w:pPr>
    </w:p>
    <w:p>
      <w:pPr>
        <w:ind w:right="140" w:firstLine="374"/>
        <w:spacing w:after="0" w:line="259" w:lineRule="auto"/>
        <w:rPr>
          <w:sz w:val="20"/>
          <w:szCs w:val="20"/>
          <w:color w:val="auto"/>
        </w:rPr>
      </w:pPr>
      <w:r>
        <w:rPr>
          <w:rFonts w:ascii="Arial" w:cs="Arial" w:eastAsia="Arial" w:hAnsi="Arial"/>
          <w:sz w:val="16"/>
          <w:szCs w:val="16"/>
          <w:color w:val="auto"/>
        </w:rPr>
        <w:t>Corporate general and administrative expenses increased $9.6 million in the third quarter of 2025 and $2.4 million in the first nine months of 2025 compared to the same periods in 2024. The third quarter increase was primarily due to $12.4 million in merger and acquisition (M&amp;A) related costs partially offset by a $1.8 million decline in employee compensation. The increase for the first nine months was primarily due to an increase in M&amp;A related costs $10.1 million, partially offset by a $4.9 million decline in employee compensation.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Depreciation</w:t>
      </w:r>
    </w:p>
    <w:p>
      <w:pPr>
        <w:spacing w:after="0" w:line="154" w:lineRule="exact"/>
        <w:rPr>
          <w:sz w:val="20"/>
          <w:szCs w:val="20"/>
          <w:color w:val="auto"/>
        </w:rPr>
      </w:pPr>
    </w:p>
    <w:p>
      <w:pPr>
        <w:ind w:right="40" w:firstLine="374"/>
        <w:spacing w:after="0" w:line="266" w:lineRule="auto"/>
        <w:rPr>
          <w:sz w:val="20"/>
          <w:szCs w:val="20"/>
          <w:color w:val="auto"/>
        </w:rPr>
      </w:pPr>
      <w:r>
        <w:rPr>
          <w:rFonts w:ascii="Arial" w:cs="Arial" w:eastAsia="Arial" w:hAnsi="Arial"/>
          <w:sz w:val="16"/>
          <w:szCs w:val="16"/>
          <w:color w:val="auto"/>
        </w:rPr>
        <w:t>Depreciation expense decreased by $0.5 million in the third quarter of 2025 and increased $1.2 million in the first nine months of 2025 compared to the same periods in 2024. The increase in the first nine months was due to the acceleration of depreciation on assets associated with our corporate headquarters lease, for which we exercised an early termination right during the first quarter of 2025.</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Amortization of intangible assets</w:t>
      </w:r>
    </w:p>
    <w:p>
      <w:pPr>
        <w:spacing w:after="0" w:line="154" w:lineRule="exact"/>
        <w:rPr>
          <w:sz w:val="20"/>
          <w:szCs w:val="20"/>
          <w:color w:val="auto"/>
        </w:rPr>
      </w:pPr>
    </w:p>
    <w:p>
      <w:pPr>
        <w:ind w:right="60" w:firstLine="374"/>
        <w:spacing w:after="0" w:line="286" w:lineRule="auto"/>
        <w:rPr>
          <w:sz w:val="20"/>
          <w:szCs w:val="20"/>
          <w:color w:val="auto"/>
        </w:rPr>
      </w:pPr>
      <w:r>
        <w:rPr>
          <w:rFonts w:ascii="Arial" w:cs="Arial" w:eastAsia="Arial" w:hAnsi="Arial"/>
          <w:sz w:val="16"/>
          <w:szCs w:val="16"/>
          <w:color w:val="auto"/>
        </w:rPr>
        <w:t>Intangible asset amortization expense decreased $4.6 million in the third quarter of 2025 and $14.3 million in the nine months of 2025 compared to the same periods in 2024. The decreases were due to certain assets reaching the end of their assumed useful lives and therefore becoming fully amortized.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 impairment and other</w:t>
      </w:r>
    </w:p>
    <w:p>
      <w:pPr>
        <w:spacing w:after="0" w:line="194" w:lineRule="exact"/>
        <w:rPr>
          <w:sz w:val="20"/>
          <w:szCs w:val="20"/>
          <w:color w:val="auto"/>
        </w:rPr>
      </w:pPr>
    </w:p>
    <w:p>
      <w:pPr>
        <w:ind w:right="280" w:firstLine="374"/>
        <w:spacing w:after="0" w:line="286" w:lineRule="auto"/>
        <w:rPr>
          <w:sz w:val="20"/>
          <w:szCs w:val="20"/>
          <w:color w:val="auto"/>
        </w:rPr>
      </w:pPr>
      <w:r>
        <w:rPr>
          <w:rFonts w:ascii="Arial" w:cs="Arial" w:eastAsia="Arial" w:hAnsi="Arial"/>
          <w:sz w:val="16"/>
          <w:szCs w:val="16"/>
          <w:color w:val="auto"/>
        </w:rPr>
        <w:t>We incurred no asset impairment and other expenses in the third quarters of 2025 or 2024 or the first nine months of 2025. We incurred a charge of $1.1 million in the first nine months of 2024 related to a contract termination fee.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income</w:t>
      </w:r>
    </w:p>
    <w:p>
      <w:pPr>
        <w:spacing w:after="0" w:line="140" w:lineRule="exact"/>
        <w:rPr>
          <w:sz w:val="20"/>
          <w:szCs w:val="20"/>
          <w:color w:val="auto"/>
        </w:rPr>
      </w:pPr>
    </w:p>
    <w:p>
      <w:pPr>
        <w:ind w:right="120" w:firstLine="374"/>
        <w:spacing w:after="0" w:line="250" w:lineRule="auto"/>
        <w:rPr>
          <w:sz w:val="20"/>
          <w:szCs w:val="20"/>
          <w:color w:val="auto"/>
        </w:rPr>
      </w:pPr>
      <w:r>
        <w:rPr>
          <w:rFonts w:ascii="Arial" w:cs="Arial" w:eastAsia="Arial" w:hAnsi="Arial"/>
          <w:sz w:val="16"/>
          <w:szCs w:val="16"/>
          <w:color w:val="auto"/>
        </w:rPr>
        <w:t>Operating income decreased $137.8 million in the third quarter of 2025 and $185.8 million in the first nine months of 2025 compared to the same periods in 2024. These decreases were primarily driven by declines in political and AMS revenues, partially offset by a decline in operating expenses. Adjusted operating income, a non-GAAP measure, decreased $133.7 million in the third quarter of 2025 and $188.5 million in the first nine months of 2025, also primarily due to declines in political and AMS revenue, offset by declines in operating expenses. For information on the nature and magnitude of items excluded from non-GAAP results, and a reconciliation to the most directly comparable GAAP measure, see the “Results from Operations- Non-GAAP Information” section.</w:t>
      </w:r>
    </w:p>
    <w:p>
      <w:pPr>
        <w:spacing w:after="0"/>
        <w:rPr>
          <w:sz w:val="20"/>
          <w:szCs w:val="20"/>
          <w:color w:val="auto"/>
        </w:rPr>
      </w:pPr>
      <w:r>
        <w:rPr>
          <w:rFonts w:ascii="Arial" w:cs="Arial" w:eastAsia="Arial" w:hAnsi="Arial"/>
          <w:sz w:val="16"/>
          <w:szCs w:val="16"/>
          <w:b w:val="1"/>
          <w:bCs w:val="1"/>
          <w:color w:val="auto"/>
        </w:rPr>
        <w:t>Non-operating (expense) income</w:t>
      </w:r>
    </w:p>
    <w:p>
      <w:pPr>
        <w:spacing w:after="0" w:line="124" w:lineRule="exact"/>
        <w:rPr>
          <w:sz w:val="20"/>
          <w:szCs w:val="20"/>
          <w:color w:val="auto"/>
        </w:rPr>
      </w:pPr>
    </w:p>
    <w:p>
      <w:pPr>
        <w:ind w:right="20" w:firstLine="374"/>
        <w:spacing w:after="0" w:line="259" w:lineRule="auto"/>
        <w:rPr>
          <w:sz w:val="20"/>
          <w:szCs w:val="20"/>
          <w:color w:val="auto"/>
        </w:rPr>
      </w:pPr>
      <w:r>
        <w:rPr>
          <w:rFonts w:ascii="Arial" w:cs="Arial" w:eastAsia="Arial" w:hAnsi="Arial"/>
          <w:sz w:val="16"/>
          <w:szCs w:val="16"/>
          <w:color w:val="auto"/>
        </w:rPr>
        <w:t>Non-operating expense increased $0.2 million in the third quarter of 2025 compared to the same period in 2024. The increase in expense was primarily due to a $2.4 million increase in other non-operating expense, primarily driven by a $2.1 million impairment charge on an investment and a $1.1 million decrease in interest income. These increases were partially offset by a $3.3 million decline in interest expense due to the payoff of our March 2026 notes, which occurred in the third quarter of 2025.</w:t>
      </w: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21" w:name="page22"/>
    <w:bookmarkEnd w:id="21"/>
    <w:p>
      <w:pPr>
        <w:jc w:val="both"/>
        <w:ind w:right="20" w:firstLine="374"/>
        <w:spacing w:after="0" w:line="259" w:lineRule="auto"/>
        <w:rPr>
          <w:sz w:val="20"/>
          <w:szCs w:val="20"/>
          <w:color w:val="auto"/>
        </w:rPr>
      </w:pPr>
      <w:r>
        <w:rPr>
          <w:rFonts w:ascii="Arial" w:cs="Arial" w:eastAsia="Arial" w:hAnsi="Arial"/>
          <w:sz w:val="16"/>
          <w:szCs w:val="16"/>
          <w:color w:val="auto"/>
        </w:rPr>
        <w:t>In the first nine months of 2025, non-operating expense increased $144.4 million compared to the same period in 2024. The increase was primarily due to the absence in 2025 of a $152.9 million gain recognized on the sale of our investment in Broadcast Music, Inc. (BMI) in the first quarter of 2024 and a $2.1 million impairment charge on an investment. These increases were partially offset by a $3.8 million decline in interest expense and a $3.7 million increase in interest income.</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Provision for income taxes</w:t>
      </w:r>
    </w:p>
    <w:p>
      <w:pPr>
        <w:spacing w:after="0" w:line="140" w:lineRule="exact"/>
        <w:rPr>
          <w:sz w:val="20"/>
          <w:szCs w:val="20"/>
          <w:color w:val="auto"/>
        </w:rPr>
      </w:pPr>
    </w:p>
    <w:p>
      <w:pPr>
        <w:ind w:firstLine="374"/>
        <w:spacing w:after="0" w:line="251" w:lineRule="auto"/>
        <w:rPr>
          <w:sz w:val="20"/>
          <w:szCs w:val="20"/>
          <w:color w:val="auto"/>
        </w:rPr>
      </w:pPr>
      <w:r>
        <w:rPr>
          <w:rFonts w:ascii="Arial" w:cs="Arial" w:eastAsia="Arial" w:hAnsi="Arial"/>
          <w:sz w:val="16"/>
          <w:szCs w:val="16"/>
          <w:color w:val="auto"/>
        </w:rPr>
        <w:t>Income tax expense decreased $27.9 million in the third quarter of 2025 compared to the same period in 2024. The decrease was primarily due to a decrease in net income before tax partially offset by an increase in our effective income tax rate. Income tax expense decreased $75.0 million in the first nine months of 2025 compared to the same period in 2024. The decrease was primarily due to a decrease in income before taxes, driven in part by a gain recognized on the sale of our investment in BMI in the first quarter of 2024, which did not reoccur in 2025. Our effective income tax rate was 31.2% for the third quarter of 2025, compared to 23.3% for the third quarter of 2024. Our effective income tax rate was 24.2% for the first nine months of 2025, compared to 23.3% for the same period in 2024. The tax rate for the third quarter and first nine months of 2025 is higher than the comparable rate in 2024 primarily due to nondeductible M&amp;A-related transaction costs incurred, a larger tax rate impact from recurring permanent nondeductible items, primarily driven by officer compensation subject to deductibility limits, and a valuation allowance recorded on a minority investment. Partially offsetting the increases were larger tax rate benefits from the purchase of federal clean energy tax credits and a net excess tax benefit recognized in connection with stock-based compensation.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 attributable to TEGNA Inc.</w:t>
      </w:r>
    </w:p>
    <w:p>
      <w:pPr>
        <w:spacing w:after="0" w:line="140" w:lineRule="exact"/>
        <w:rPr>
          <w:sz w:val="20"/>
          <w:szCs w:val="20"/>
          <w:color w:val="auto"/>
        </w:rPr>
      </w:pPr>
    </w:p>
    <w:p>
      <w:pPr>
        <w:ind w:right="40" w:firstLine="374"/>
        <w:spacing w:after="0" w:line="252" w:lineRule="auto"/>
        <w:rPr>
          <w:sz w:val="20"/>
          <w:szCs w:val="20"/>
          <w:color w:val="auto"/>
        </w:rPr>
      </w:pPr>
      <w:r>
        <w:rPr>
          <w:rFonts w:ascii="Arial" w:cs="Arial" w:eastAsia="Arial" w:hAnsi="Arial"/>
          <w:sz w:val="16"/>
          <w:szCs w:val="16"/>
          <w:color w:val="auto"/>
        </w:rPr>
        <w:t>Net income attributable to TEGNA Inc. was $37.1 million, or $0.23 per diluted share, in the third quarter of 2025 compared to $147.4 million, or $0.89 per diluted share, during the same period in 2024. On a non-GAAP basis, net income attributable to TEGNA Inc. was $53.2 million, or $0.33 per diluted share, in the third quarter of 2025 compared to $156.9 million, or $0.94 per diluted share, during the same period in 2024. For the first nine months of 2025, net income attributable to TEGNA Inc. was $163.7 million, or $1.00 per diluted share, compared to $419.2 million, or $2.44 per diluted share, during the same period of 2024. On a non-GAAP basis, net income attributable to TEGNA Inc. was $185.1 million, or $1.13 per diluted share, in the first nine months of 2025 compared to $323.2 million, or $1.88 per diluted share, during the same period in 2024. Both income and earnings per share, on a GAAP and non-GAAP basis, were affected by the factors discussed above. For information on the nature and magnitude of items excluded from non-GAAP results, and a reconciliation to the most directly comparable GAAP measure, see the “Results from Operations- Non-GAAP Information” section.</w:t>
      </w:r>
    </w:p>
    <w:p>
      <w:pPr>
        <w:spacing w:after="0" w:line="102" w:lineRule="exact"/>
        <w:rPr>
          <w:sz w:val="20"/>
          <w:szCs w:val="20"/>
          <w:color w:val="auto"/>
        </w:rPr>
      </w:pPr>
    </w:p>
    <w:p>
      <w:pPr>
        <w:ind w:right="60" w:firstLine="374"/>
        <w:spacing w:after="0" w:line="254" w:lineRule="auto"/>
        <w:rPr>
          <w:sz w:val="20"/>
          <w:szCs w:val="20"/>
          <w:color w:val="auto"/>
        </w:rPr>
      </w:pPr>
      <w:r>
        <w:rPr>
          <w:rFonts w:ascii="Arial" w:cs="Arial" w:eastAsia="Arial" w:hAnsi="Arial"/>
          <w:sz w:val="16"/>
          <w:szCs w:val="16"/>
          <w:color w:val="auto"/>
        </w:rPr>
        <w:t>The weighted average number of diluted common shares outstanding during the third quarter of 2025 and 2024 were 163.0 million and 165.7 million, respectively. The weighted average number of diluted shares outstanding in the first nine months of 2025 and 2024 was 162.5 million and 171.3 million, respectively. The third quarter of 2025 decline in the number of diluted common shares outstanding was primarily due to 7.7 million share repurchases since the third quarter of 2024 under our authorized repurchase program. The first nine months of 2025 decline in the number of diluted common shares outstanding was primarily due to share delivery of 4.0 million received in the first quarter of 2024 under our ASR program, which began in the fourth quarter of 2023, and 18.6 million share repurchases since the beginning of 2024.</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Results from Operations - Non-GAAP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Presentation of Non-GAAP information</w:t>
      </w:r>
    </w:p>
    <w:p>
      <w:pPr>
        <w:spacing w:after="0" w:line="127" w:lineRule="exact"/>
        <w:rPr>
          <w:sz w:val="20"/>
          <w:szCs w:val="20"/>
          <w:color w:val="auto"/>
        </w:rPr>
      </w:pPr>
    </w:p>
    <w:p>
      <w:pPr>
        <w:ind w:right="280" w:firstLine="374"/>
        <w:spacing w:after="0" w:line="259" w:lineRule="auto"/>
        <w:rPr>
          <w:sz w:val="20"/>
          <w:szCs w:val="20"/>
          <w:color w:val="auto"/>
        </w:rPr>
      </w:pPr>
      <w:r>
        <w:rPr>
          <w:rFonts w:ascii="Arial" w:cs="Arial" w:eastAsia="Arial" w:hAnsi="Arial"/>
          <w:sz w:val="16"/>
          <w:szCs w:val="16"/>
          <w:color w:val="auto"/>
        </w:rPr>
        <w:t>We use non-GAAP financial performance measures to supplement the financial information presented on a GAAP basis. These non-GAAP financial measures should not be considered in isolation from, or as a substitute for, the related GAAP measures, nor should they be considered superior to the related GAAP measures and should be read together with financial information presented on a GAAP basis. Also, our non-GAAP measures may not be comparable to similarly titled measures of other companies.</w:t>
      </w:r>
    </w:p>
    <w:p>
      <w:pPr>
        <w:spacing w:after="0" w:line="151" w:lineRule="exact"/>
        <w:rPr>
          <w:sz w:val="20"/>
          <w:szCs w:val="20"/>
          <w:color w:val="auto"/>
        </w:rPr>
      </w:pPr>
    </w:p>
    <w:p>
      <w:pPr>
        <w:ind w:firstLine="374"/>
        <w:spacing w:after="0" w:line="251" w:lineRule="auto"/>
        <w:rPr>
          <w:sz w:val="20"/>
          <w:szCs w:val="20"/>
          <w:color w:val="auto"/>
        </w:rPr>
      </w:pPr>
      <w:r>
        <w:rPr>
          <w:rFonts w:ascii="Arial" w:cs="Arial" w:eastAsia="Arial" w:hAnsi="Arial"/>
          <w:sz w:val="16"/>
          <w:szCs w:val="16"/>
          <w:color w:val="auto"/>
        </w:rPr>
        <w:t>Our management and our Board of Directors (the Board) regularly use Employee compensation, Corporate – General and administrative expenses, Operating expenses, Operating income, Income before income taxes, Provision for income taxes, Net income attributable to TEGNA Inc., and Diluted earnings per share, each presented on a non-GAAP basis, for purposes of evaluating Company performance. Management and the Board also use Adjusted EBITDA to evaluate our performance. The Leadership Development and Compensation Committee of our Board uses non-GAAP measures such as Adjusted EBITDA, non-GAAP net income, non-GAAP EPS to evaluate and compensate senior management. We, therefore, believe that each of the non-GAAP measures presented provides useful information to investors and other stakeholders by allowing them to view our business through the eyes of management and our Board, facilitating comparisons of results across historical periods and focus on the underlying ongoing operating performance of our business. We also believe these non-GAAP measures are frequently used by investors, securities analysts and other interested parties in their evaluation of our business and other companies in the broadcast industry.</w:t>
      </w:r>
    </w:p>
    <w:p>
      <w:pPr>
        <w:spacing w:after="0" w:line="158" w:lineRule="exact"/>
        <w:rPr>
          <w:sz w:val="20"/>
          <w:szCs w:val="20"/>
          <w:color w:val="auto"/>
        </w:rPr>
      </w:pPr>
    </w:p>
    <w:p>
      <w:pPr>
        <w:ind w:right="20" w:firstLine="374"/>
        <w:spacing w:after="0" w:line="253" w:lineRule="auto"/>
        <w:rPr>
          <w:sz w:val="20"/>
          <w:szCs w:val="20"/>
          <w:color w:val="auto"/>
        </w:rPr>
      </w:pPr>
      <w:r>
        <w:rPr>
          <w:rFonts w:ascii="Arial" w:cs="Arial" w:eastAsia="Arial" w:hAnsi="Arial"/>
          <w:sz w:val="16"/>
          <w:szCs w:val="16"/>
          <w:color w:val="auto"/>
        </w:rPr>
        <w:t>We discuss in this Form 10-Q non-GAAP financial performance measures that exclude from our reported GAAP results the impact of “special items”, which are described in detail below in the section titled “Discussion of Special Charges and Credits Affecting Reported Results.” We believe that such expenses and gains are not indicative of normal, ongoing operations. While these items should not be disregarded in evaluating our earnings performance, it is useful to exclude such items when analyzing current results and trends compared to other periods, as these items can vary significantly from period to period depending on specific underlying transactions or events that may occur. Therefore, while we may incur or recognize these types of expenses, charges, and gains in the future, we believe that removing these items for purposes of calculating the non-GAAP financial measures provides investors with a more focused presentation of our ongoing operating performance.</w:t>
      </w:r>
    </w:p>
    <w:p>
      <w:pPr>
        <w:spacing w:after="0" w:line="154" w:lineRule="exact"/>
        <w:rPr>
          <w:sz w:val="20"/>
          <w:szCs w:val="20"/>
          <w:color w:val="auto"/>
        </w:rPr>
      </w:pPr>
    </w:p>
    <w:p>
      <w:pPr>
        <w:ind w:firstLine="374"/>
        <w:spacing w:after="0" w:line="251" w:lineRule="auto"/>
        <w:rPr>
          <w:sz w:val="20"/>
          <w:szCs w:val="20"/>
          <w:color w:val="auto"/>
        </w:rPr>
      </w:pPr>
      <w:r>
        <w:rPr>
          <w:rFonts w:ascii="Arial" w:cs="Arial" w:eastAsia="Arial" w:hAnsi="Arial"/>
          <w:sz w:val="16"/>
          <w:szCs w:val="16"/>
          <w:color w:val="auto"/>
        </w:rPr>
        <w:t>We also discuss Adjusted EBITDA (with and without stock-based compensation expense), a non-GAAP financial performance measure that we believe offers a useful view of the overall operation of our business. We define Adjusted EBITDA as net income attributable to TEGNA before (1) net loss attributable to redeemable noncontrolling interest, (2) income taxes, (3) interest expense, (4) interest income, (5) other non-operating items, net, (6) earnout adjustments, (7) employee retention costs, (8) M&amp;A-related costs, (9) asset impairment and other, (10) workforce restructuring costs, (11) depreciation and</w:t>
      </w:r>
    </w:p>
    <w:p>
      <w:pPr>
        <w:spacing w:after="0" w:line="2" w:lineRule="exact"/>
        <w:rPr>
          <w:sz w:val="20"/>
          <w:szCs w:val="20"/>
          <w:color w:val="auto"/>
        </w:rPr>
      </w:pPr>
    </w:p>
    <w:p>
      <w:pPr>
        <w:ind w:right="80" w:firstLine="8"/>
        <w:spacing w:after="0" w:line="249" w:lineRule="auto"/>
        <w:tabs>
          <w:tab w:leader="none" w:pos="333" w:val="left"/>
        </w:tabs>
        <w:numPr>
          <w:ilvl w:val="0"/>
          <w:numId w:val="9"/>
        </w:numPr>
        <w:rPr>
          <w:rFonts w:ascii="Arial" w:cs="Arial" w:eastAsia="Arial" w:hAnsi="Arial"/>
          <w:sz w:val="16"/>
          <w:szCs w:val="16"/>
          <w:color w:val="auto"/>
        </w:rPr>
      </w:pPr>
      <w:r>
        <w:rPr>
          <w:rFonts w:ascii="Arial" w:cs="Arial" w:eastAsia="Arial" w:hAnsi="Arial"/>
          <w:sz w:val="16"/>
          <w:szCs w:val="16"/>
          <w:color w:val="auto"/>
        </w:rPr>
        <w:t>amortization of intangible assets. We believe these adjustments facilitate company-to-company operating performance comparisons by removing potential differences caused by variations unrelated to operating performance, such as capital structures (interest expense), income taxes, and the age and book appreciation of property and equipment (and related depreciation expense). The most directly comparable GAAP financial measure to Adjusted EBITDA is Net income attributable to TEGNA. Users should consider the limitations of using Adjusted EBITDA, including the fact that this measure does not provide a complete measure of our operating performance. Adjusted EBITDA is not intended to purport to be an alternate to net income as a measure of operating performance or to cash flows from operating activities as a measure of liquidity. In particular, Adjusted EBITDA is not intended to be a measure of cash flow available for management’s discretionary expenditures, as this measure does not consider certain cash requirements, such as working capital needs, capital expenditures, contractual commitments, interest payments, tax payments and other debt service requirements.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Discussion of Special Charges and Credits Affecting Reported Results</w:t>
      </w:r>
    </w:p>
    <w:p>
      <w:pPr>
        <w:spacing w:after="0" w:line="127" w:lineRule="exact"/>
        <w:rPr>
          <w:sz w:val="20"/>
          <w:szCs w:val="20"/>
          <w:color w:val="auto"/>
        </w:rPr>
      </w:pPr>
    </w:p>
    <w:p>
      <w:pPr>
        <w:ind w:right="120" w:firstLine="374"/>
        <w:spacing w:after="0" w:line="286" w:lineRule="auto"/>
        <w:rPr>
          <w:sz w:val="20"/>
          <w:szCs w:val="20"/>
          <w:color w:val="auto"/>
        </w:rPr>
      </w:pPr>
      <w:r>
        <w:rPr>
          <w:rFonts w:ascii="Arial" w:cs="Arial" w:eastAsia="Arial" w:hAnsi="Arial"/>
          <w:sz w:val="16"/>
          <w:szCs w:val="16"/>
          <w:color w:val="auto"/>
        </w:rPr>
        <w:t>Our results included the following items we consider “special items” that, while at times recurring, are not normal and can vary significantly from period to period:</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Quarter and nine months ended September 30, 2025:</w:t>
      </w:r>
    </w:p>
    <w:p>
      <w:pPr>
        <w:spacing w:after="0" w:line="194" w:lineRule="exact"/>
        <w:rPr>
          <w:sz w:val="20"/>
          <w:szCs w:val="20"/>
          <w:color w:val="auto"/>
        </w:rPr>
      </w:pPr>
    </w:p>
    <w:p>
      <w:pPr>
        <w:ind w:left="380" w:hanging="372"/>
        <w:spacing w:after="0"/>
        <w:tabs>
          <w:tab w:leader="none" w:pos="380" w:val="left"/>
        </w:tabs>
        <w:numPr>
          <w:ilvl w:val="0"/>
          <w:numId w:val="10"/>
        </w:numPr>
        <w:rPr>
          <w:rFonts w:ascii="Times New Roman" w:cs="Times New Roman" w:eastAsia="Times New Roman" w:hAnsi="Times New Roman"/>
          <w:sz w:val="13"/>
          <w:szCs w:val="13"/>
          <w:color w:val="auto"/>
        </w:rPr>
      </w:pPr>
      <w:r>
        <w:rPr>
          <w:rFonts w:ascii="Arial" w:cs="Arial" w:eastAsia="Arial" w:hAnsi="Arial"/>
          <w:sz w:val="16"/>
          <w:szCs w:val="16"/>
          <w:color w:val="auto"/>
        </w:rPr>
        <w:t>Octillion acquisition earnout adjustment;</w:t>
      </w:r>
    </w:p>
    <w:p>
      <w:pPr>
        <w:spacing w:after="0" w:line="21" w:lineRule="exact"/>
        <w:rPr>
          <w:rFonts w:ascii="Times New Roman" w:cs="Times New Roman" w:eastAsia="Times New Roman" w:hAnsi="Times New Roman"/>
          <w:sz w:val="13"/>
          <w:szCs w:val="13"/>
          <w:color w:val="auto"/>
        </w:rPr>
      </w:pPr>
    </w:p>
    <w:p>
      <w:pPr>
        <w:ind w:left="380" w:right="720" w:hanging="372"/>
        <w:spacing w:after="0" w:line="246" w:lineRule="auto"/>
        <w:tabs>
          <w:tab w:leader="none" w:pos="380" w:val="left"/>
        </w:tabs>
        <w:numPr>
          <w:ilvl w:val="0"/>
          <w:numId w:val="10"/>
        </w:numPr>
        <w:rPr>
          <w:rFonts w:ascii="Times New Roman" w:cs="Times New Roman" w:eastAsia="Times New Roman" w:hAnsi="Times New Roman"/>
          <w:sz w:val="13"/>
          <w:szCs w:val="13"/>
          <w:color w:val="auto"/>
        </w:rPr>
      </w:pPr>
      <w:r>
        <w:rPr>
          <w:rFonts w:ascii="Arial" w:cs="Arial" w:eastAsia="Arial" w:hAnsi="Arial"/>
          <w:sz w:val="16"/>
          <w:szCs w:val="16"/>
          <w:color w:val="auto"/>
        </w:rPr>
        <w:t>Retention costs, including stock-based compensation (SBC) and cash payments to certain employees to ensure their continued service to the Company;</w:t>
      </w:r>
    </w:p>
    <w:p>
      <w:pPr>
        <w:ind w:left="380" w:hanging="372"/>
        <w:spacing w:after="0"/>
        <w:tabs>
          <w:tab w:leader="none" w:pos="380" w:val="left"/>
        </w:tabs>
        <w:numPr>
          <w:ilvl w:val="0"/>
          <w:numId w:val="10"/>
        </w:numPr>
        <w:rPr>
          <w:rFonts w:ascii="Times New Roman" w:cs="Times New Roman" w:eastAsia="Times New Roman" w:hAnsi="Times New Roman"/>
          <w:sz w:val="13"/>
          <w:szCs w:val="13"/>
          <w:color w:val="auto"/>
        </w:rPr>
      </w:pPr>
      <w:r>
        <w:rPr>
          <w:rFonts w:ascii="Arial" w:cs="Arial" w:eastAsia="Arial" w:hAnsi="Arial"/>
          <w:sz w:val="16"/>
          <w:szCs w:val="16"/>
          <w:color w:val="auto"/>
        </w:rPr>
        <w:t>M&amp;A-related costs;</w:t>
      </w:r>
    </w:p>
    <w:p>
      <w:pPr>
        <w:spacing w:after="0" w:line="5"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10"/>
        </w:numPr>
        <w:rPr>
          <w:rFonts w:ascii="Times New Roman" w:cs="Times New Roman" w:eastAsia="Times New Roman" w:hAnsi="Times New Roman"/>
          <w:sz w:val="13"/>
          <w:szCs w:val="13"/>
          <w:color w:val="auto"/>
        </w:rPr>
      </w:pPr>
      <w:r>
        <w:rPr>
          <w:rFonts w:ascii="Arial" w:cs="Arial" w:eastAsia="Arial" w:hAnsi="Arial"/>
          <w:sz w:val="16"/>
          <w:szCs w:val="16"/>
          <w:color w:val="auto"/>
        </w:rPr>
        <w:t>Workforce restructuring expenses; and</w:t>
      </w:r>
    </w:p>
    <w:p>
      <w:pPr>
        <w:spacing w:after="0" w:line="5"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10"/>
        </w:numPr>
        <w:rPr>
          <w:rFonts w:ascii="Times New Roman" w:cs="Times New Roman" w:eastAsia="Times New Roman" w:hAnsi="Times New Roman"/>
          <w:sz w:val="13"/>
          <w:szCs w:val="13"/>
          <w:color w:val="auto"/>
        </w:rPr>
      </w:pPr>
      <w:r>
        <w:rPr>
          <w:rFonts w:ascii="Arial" w:cs="Arial" w:eastAsia="Arial" w:hAnsi="Arial"/>
          <w:sz w:val="16"/>
          <w:szCs w:val="16"/>
          <w:color w:val="auto"/>
        </w:rPr>
        <w:t>Other non-operating item related to an investment impairment charge.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Quarter and nine months ended September 30, 2024:</w:t>
      </w:r>
    </w:p>
    <w:p>
      <w:pPr>
        <w:spacing w:after="0" w:line="194" w:lineRule="exact"/>
        <w:rPr>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13"/>
          <w:szCs w:val="13"/>
          <w:color w:val="auto"/>
        </w:rPr>
      </w:pPr>
      <w:r>
        <w:rPr>
          <w:rFonts w:ascii="Arial" w:cs="Arial" w:eastAsia="Arial" w:hAnsi="Arial"/>
          <w:sz w:val="16"/>
          <w:szCs w:val="16"/>
          <w:color w:val="auto"/>
        </w:rPr>
        <w:t>Retention costs, including SBC and cash payments to certain employees to ensure their continued service to the Company;</w:t>
      </w:r>
    </w:p>
    <w:p>
      <w:pPr>
        <w:spacing w:after="0" w:line="21"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11"/>
        </w:numPr>
        <w:rPr>
          <w:rFonts w:ascii="Times New Roman" w:cs="Times New Roman" w:eastAsia="Times New Roman" w:hAnsi="Times New Roman"/>
          <w:sz w:val="13"/>
          <w:szCs w:val="13"/>
          <w:color w:val="auto"/>
        </w:rPr>
      </w:pPr>
      <w:r>
        <w:rPr>
          <w:rFonts w:ascii="Arial" w:cs="Arial" w:eastAsia="Arial" w:hAnsi="Arial"/>
          <w:sz w:val="16"/>
          <w:szCs w:val="16"/>
          <w:color w:val="auto"/>
        </w:rPr>
        <w:t>Workforce restructuring expenses;</w:t>
      </w:r>
    </w:p>
    <w:p>
      <w:pPr>
        <w:spacing w:after="0" w:line="5"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11"/>
        </w:numPr>
        <w:rPr>
          <w:rFonts w:ascii="Times New Roman" w:cs="Times New Roman" w:eastAsia="Times New Roman" w:hAnsi="Times New Roman"/>
          <w:sz w:val="13"/>
          <w:szCs w:val="13"/>
          <w:color w:val="auto"/>
        </w:rPr>
      </w:pPr>
      <w:r>
        <w:rPr>
          <w:rFonts w:ascii="Arial" w:cs="Arial" w:eastAsia="Arial" w:hAnsi="Arial"/>
          <w:sz w:val="16"/>
          <w:szCs w:val="16"/>
          <w:color w:val="auto"/>
        </w:rPr>
        <w:t>M&amp;A-related costs;</w:t>
      </w:r>
    </w:p>
    <w:p>
      <w:pPr>
        <w:spacing w:after="0" w:line="5"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11"/>
        </w:numPr>
        <w:rPr>
          <w:rFonts w:ascii="Times New Roman" w:cs="Times New Roman" w:eastAsia="Times New Roman" w:hAnsi="Times New Roman"/>
          <w:sz w:val="13"/>
          <w:szCs w:val="13"/>
          <w:color w:val="auto"/>
        </w:rPr>
      </w:pPr>
      <w:r>
        <w:rPr>
          <w:rFonts w:ascii="Arial" w:cs="Arial" w:eastAsia="Arial" w:hAnsi="Arial"/>
          <w:sz w:val="16"/>
          <w:szCs w:val="16"/>
          <w:color w:val="auto"/>
        </w:rPr>
        <w:t>Asset impairment and other consisting of contract termination fee; and</w:t>
      </w:r>
    </w:p>
    <w:p>
      <w:pPr>
        <w:spacing w:after="0" w:line="5"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11"/>
        </w:numPr>
        <w:rPr>
          <w:rFonts w:ascii="Times New Roman" w:cs="Times New Roman" w:eastAsia="Times New Roman" w:hAnsi="Times New Roman"/>
          <w:sz w:val="13"/>
          <w:szCs w:val="13"/>
          <w:color w:val="auto"/>
        </w:rPr>
      </w:pPr>
      <w:r>
        <w:rPr>
          <w:rFonts w:ascii="Arial" w:cs="Arial" w:eastAsia="Arial" w:hAnsi="Arial"/>
          <w:sz w:val="16"/>
          <w:szCs w:val="16"/>
          <w:color w:val="auto"/>
        </w:rPr>
        <w:t>Other non-operating item consisting of a gain recognized on the sale of our investment in Broadcast Music Inc. (BMI).</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3" w:name="page24"/>
    <w:bookmarkEnd w:id="23"/>
    <w:p>
      <w:pPr>
        <w:ind w:right="800" w:firstLine="374"/>
        <w:spacing w:after="0" w:line="286" w:lineRule="auto"/>
        <w:rPr>
          <w:sz w:val="20"/>
          <w:szCs w:val="20"/>
          <w:color w:val="auto"/>
        </w:rPr>
      </w:pPr>
      <w:r>
        <w:rPr>
          <w:rFonts w:ascii="Arial" w:cs="Arial" w:eastAsia="Arial" w:hAnsi="Arial"/>
          <w:sz w:val="16"/>
          <w:szCs w:val="16"/>
          <w:color w:val="auto"/>
        </w:rPr>
        <w:t>Reconciliations of certain line items impacted by special items to the most directly comparable financial measure calculated and presented in accordance with GAAP on our Consolidated Statements of Income are presented below (in thousands, except per share amounts):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GAAP</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rPr>
              <w:t>Special Items</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46"/>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10"/>
          </w:tcPr>
          <w:p>
            <w:pPr>
              <w:spacing w:after="0" w:line="147" w:lineRule="exact"/>
              <w:rPr>
                <w:sz w:val="20"/>
                <w:szCs w:val="20"/>
                <w:color w:val="auto"/>
              </w:rPr>
            </w:pPr>
            <w:r>
              <w:rPr>
                <w:rFonts w:ascii="Arial" w:cs="Arial" w:eastAsia="Arial" w:hAnsi="Arial"/>
                <w:sz w:val="14"/>
                <w:szCs w:val="14"/>
                <w:b w:val="1"/>
                <w:bCs w:val="1"/>
                <w:color w:val="auto"/>
              </w:rPr>
              <w:t>Retention costs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7"/>
          </w:tcPr>
          <w:p>
            <w:pPr>
              <w:jc w:val="right"/>
              <w:ind w:right="88"/>
              <w:spacing w:after="0" w:line="147" w:lineRule="exact"/>
              <w:rPr>
                <w:sz w:val="20"/>
                <w:szCs w:val="20"/>
                <w:color w:val="auto"/>
              </w:rPr>
            </w:pPr>
            <w:r>
              <w:rPr>
                <w:rFonts w:ascii="Arial" w:cs="Arial" w:eastAsia="Arial" w:hAnsi="Arial"/>
                <w:sz w:val="14"/>
                <w:szCs w:val="14"/>
                <w:b w:val="1"/>
                <w:bCs w:val="1"/>
                <w:color w:val="auto"/>
              </w:rPr>
              <w:t>M&amp;A-related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8"/>
          </w:tcPr>
          <w:p>
            <w:pPr>
              <w:jc w:val="right"/>
              <w:ind w:right="380"/>
              <w:spacing w:after="0" w:line="147" w:lineRule="exact"/>
              <w:rPr>
                <w:sz w:val="20"/>
                <w:szCs w:val="20"/>
                <w:color w:val="auto"/>
              </w:rPr>
            </w:pPr>
            <w:r>
              <w:rPr>
                <w:rFonts w:ascii="Arial" w:cs="Arial" w:eastAsia="Arial" w:hAnsi="Arial"/>
                <w:sz w:val="14"/>
                <w:szCs w:val="14"/>
                <w:b w:val="1"/>
                <w:bCs w:val="1"/>
                <w:color w:val="auto"/>
              </w:rPr>
              <w:t>Workforce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7"/>
          </w:tcPr>
          <w:p>
            <w:pPr>
              <w:jc w:val="right"/>
              <w:ind w:right="173"/>
              <w:spacing w:after="0" w:line="147" w:lineRule="exact"/>
              <w:rPr>
                <w:sz w:val="20"/>
                <w:szCs w:val="20"/>
                <w:color w:val="auto"/>
              </w:rPr>
            </w:pPr>
            <w:r>
              <w:rPr>
                <w:rFonts w:ascii="Arial" w:cs="Arial" w:eastAsia="Arial" w:hAnsi="Arial"/>
                <w:sz w:val="14"/>
                <w:szCs w:val="14"/>
                <w:b w:val="1"/>
                <w:bCs w:val="1"/>
                <w:color w:val="auto"/>
              </w:rPr>
              <w:t>Other non-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tcPr>
          <w:p>
            <w:pPr>
              <w:spacing w:after="0"/>
              <w:rPr>
                <w:sz w:val="20"/>
                <w:szCs w:val="20"/>
                <w:color w:val="auto"/>
              </w:rPr>
            </w:pPr>
            <w:r>
              <w:rPr>
                <w:rFonts w:ascii="Arial" w:cs="Arial" w:eastAsia="Arial" w:hAnsi="Arial"/>
                <w:sz w:val="14"/>
                <w:szCs w:val="14"/>
                <w:b w:val="1"/>
                <w:bCs w:val="1"/>
                <w:color w:val="auto"/>
              </w:rPr>
              <w:t>Quarter ended Sept. 30, 2025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measure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left="70"/>
              <w:spacing w:after="0"/>
              <w:rPr>
                <w:sz w:val="20"/>
                <w:szCs w:val="20"/>
                <w:color w:val="auto"/>
              </w:rPr>
            </w:pPr>
            <w:r>
              <w:rPr>
                <w:rFonts w:ascii="Arial" w:cs="Arial" w:eastAsia="Arial" w:hAnsi="Arial"/>
                <w:sz w:val="14"/>
                <w:szCs w:val="14"/>
                <w:b w:val="1"/>
                <w:bCs w:val="1"/>
                <w:color w:val="auto"/>
              </w:rPr>
              <w:t>- Cash</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costs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8"/>
          </w:tcPr>
          <w:p>
            <w:pPr>
              <w:ind w:left="100"/>
              <w:spacing w:after="0"/>
              <w:rPr>
                <w:sz w:val="20"/>
                <w:szCs w:val="20"/>
                <w:color w:val="auto"/>
              </w:rPr>
            </w:pPr>
            <w:r>
              <w:rPr>
                <w:rFonts w:ascii="Arial" w:cs="Arial" w:eastAsia="Arial" w:hAnsi="Arial"/>
                <w:sz w:val="14"/>
                <w:szCs w:val="14"/>
                <w:b w:val="1"/>
                <w:bCs w:val="1"/>
                <w:color w:val="auto"/>
              </w:rPr>
              <w:t>restructuring</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8"/>
          </w:tcPr>
          <w:p>
            <w:pPr>
              <w:ind w:left="100"/>
              <w:spacing w:after="0"/>
              <w:rPr>
                <w:sz w:val="20"/>
                <w:szCs w:val="20"/>
                <w:color w:val="auto"/>
              </w:rPr>
            </w:pPr>
            <w:r>
              <w:rPr>
                <w:rFonts w:ascii="Arial" w:cs="Arial" w:eastAsia="Arial" w:hAnsi="Arial"/>
                <w:sz w:val="14"/>
                <w:szCs w:val="14"/>
                <w:b w:val="1"/>
                <w:bCs w:val="1"/>
                <w:color w:val="auto"/>
              </w:rPr>
              <w:t>operating item</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5"/>
          </w:tcPr>
          <w:p>
            <w:pPr>
              <w:ind w:left="80"/>
              <w:spacing w:after="0"/>
              <w:rPr>
                <w:sz w:val="20"/>
                <w:szCs w:val="20"/>
                <w:color w:val="auto"/>
              </w:rPr>
            </w:pPr>
            <w:r>
              <w:rPr>
                <w:rFonts w:ascii="Arial" w:cs="Arial" w:eastAsia="Arial" w:hAnsi="Arial"/>
                <w:sz w:val="14"/>
                <w:szCs w:val="14"/>
                <w:b w:val="1"/>
                <w:bCs w:val="1"/>
                <w:color w:val="auto"/>
              </w:rPr>
              <w:t>measure</w:t>
            </w:r>
          </w:p>
        </w:tc>
        <w:tc>
          <w:tcPr>
            <w:tcW w:w="0" w:type="dxa"/>
            <w:vAlign w:val="bottom"/>
          </w:tcPr>
          <w:p>
            <w:pPr>
              <w:spacing w:after="0"/>
              <w:rPr>
                <w:sz w:val="1"/>
                <w:szCs w:val="1"/>
                <w:color w:val="auto"/>
              </w:rPr>
            </w:pPr>
          </w:p>
        </w:tc>
      </w:tr>
      <w:tr>
        <w:trPr>
          <w:trHeight w:val="156"/>
        </w:trPr>
        <w:tc>
          <w:tcPr>
            <w:tcW w:w="3360" w:type="dxa"/>
            <w:vAlign w:val="bottom"/>
            <w:tcBorders>
              <w:top w:val="single" w:sz="8" w:color="auto"/>
            </w:tcBorders>
            <w:gridSpan w:val="5"/>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Borders>
              <w:top w:val="single" w:sz="8" w:color="auto"/>
            </w:tcBorders>
            <w:gridSpan w:val="4"/>
          </w:tcPr>
          <w:p>
            <w:pPr>
              <w:spacing w:after="0"/>
              <w:rPr>
                <w:sz w:val="13"/>
                <w:szCs w:val="13"/>
                <w:color w:val="auto"/>
              </w:rPr>
            </w:pPr>
          </w:p>
        </w:tc>
        <w:tc>
          <w:tcPr>
            <w:tcW w:w="260" w:type="dxa"/>
            <w:vAlign w:val="bottom"/>
            <w:gridSpan w:val="4"/>
          </w:tcPr>
          <w:p>
            <w:pPr>
              <w:spacing w:after="0"/>
              <w:rPr>
                <w:sz w:val="13"/>
                <w:szCs w:val="13"/>
                <w:color w:val="auto"/>
              </w:rPr>
            </w:pPr>
          </w:p>
        </w:tc>
        <w:tc>
          <w:tcPr>
            <w:tcW w:w="1120" w:type="dxa"/>
            <w:vAlign w:val="bottom"/>
            <w:tcBorders>
              <w:top w:val="single" w:sz="8" w:color="auto"/>
            </w:tcBorders>
            <w:gridSpan w:val="9"/>
          </w:tcPr>
          <w:p>
            <w:pPr>
              <w:spacing w:after="0"/>
              <w:rPr>
                <w:sz w:val="13"/>
                <w:szCs w:val="13"/>
                <w:color w:val="auto"/>
              </w:rPr>
            </w:pPr>
          </w:p>
        </w:tc>
        <w:tc>
          <w:tcPr>
            <w:tcW w:w="240" w:type="dxa"/>
            <w:vAlign w:val="bottom"/>
            <w:gridSpan w:val="4"/>
          </w:tcPr>
          <w:p>
            <w:pPr>
              <w:spacing w:after="0"/>
              <w:rPr>
                <w:sz w:val="13"/>
                <w:szCs w:val="13"/>
                <w:color w:val="auto"/>
              </w:rPr>
            </w:pPr>
          </w:p>
        </w:tc>
        <w:tc>
          <w:tcPr>
            <w:tcW w:w="1120" w:type="dxa"/>
            <w:vAlign w:val="bottom"/>
            <w:tcBorders>
              <w:top w:val="single" w:sz="8" w:color="auto"/>
            </w:tcBorders>
            <w:gridSpan w:val="7"/>
          </w:tcPr>
          <w:p>
            <w:pPr>
              <w:spacing w:after="0"/>
              <w:rPr>
                <w:sz w:val="13"/>
                <w:szCs w:val="13"/>
                <w:color w:val="auto"/>
              </w:rPr>
            </w:pPr>
          </w:p>
        </w:tc>
        <w:tc>
          <w:tcPr>
            <w:tcW w:w="220" w:type="dxa"/>
            <w:vAlign w:val="bottom"/>
            <w:gridSpan w:val="2"/>
          </w:tcPr>
          <w:p>
            <w:pPr>
              <w:spacing w:after="0"/>
              <w:rPr>
                <w:sz w:val="13"/>
                <w:szCs w:val="13"/>
                <w:color w:val="auto"/>
              </w:rPr>
            </w:pPr>
          </w:p>
        </w:tc>
        <w:tc>
          <w:tcPr>
            <w:tcW w:w="1100" w:type="dxa"/>
            <w:vAlign w:val="bottom"/>
            <w:tcBorders>
              <w:top w:val="single" w:sz="8" w:color="auto"/>
            </w:tcBorders>
            <w:gridSpan w:val="7"/>
          </w:tcPr>
          <w:p>
            <w:pPr>
              <w:spacing w:after="0"/>
              <w:rPr>
                <w:sz w:val="13"/>
                <w:szCs w:val="13"/>
                <w:color w:val="auto"/>
              </w:rPr>
            </w:pPr>
          </w:p>
        </w:tc>
        <w:tc>
          <w:tcPr>
            <w:tcW w:w="220" w:type="dxa"/>
            <w:vAlign w:val="bottom"/>
            <w:gridSpan w:val="3"/>
          </w:tcPr>
          <w:p>
            <w:pPr>
              <w:spacing w:after="0"/>
              <w:rPr>
                <w:sz w:val="13"/>
                <w:szCs w:val="13"/>
                <w:color w:val="auto"/>
              </w:rPr>
            </w:pPr>
          </w:p>
        </w:tc>
        <w:tc>
          <w:tcPr>
            <w:tcW w:w="1220" w:type="dxa"/>
            <w:vAlign w:val="bottom"/>
            <w:tcBorders>
              <w:top w:val="single" w:sz="8" w:color="auto"/>
            </w:tcBorders>
            <w:gridSpan w:val="8"/>
          </w:tcPr>
          <w:p>
            <w:pPr>
              <w:spacing w:after="0"/>
              <w:rPr>
                <w:sz w:val="13"/>
                <w:szCs w:val="13"/>
                <w:color w:val="auto"/>
              </w:rPr>
            </w:pPr>
          </w:p>
        </w:tc>
        <w:tc>
          <w:tcPr>
            <w:tcW w:w="220" w:type="dxa"/>
            <w:vAlign w:val="bottom"/>
            <w:gridSpan w:val="2"/>
          </w:tcPr>
          <w:p>
            <w:pPr>
              <w:spacing w:after="0"/>
              <w:rPr>
                <w:sz w:val="13"/>
                <w:szCs w:val="13"/>
                <w:color w:val="auto"/>
              </w:rPr>
            </w:pPr>
          </w:p>
        </w:tc>
        <w:tc>
          <w:tcPr>
            <w:tcW w:w="1020" w:type="dxa"/>
            <w:vAlign w:val="bottom"/>
            <w:tcBorders>
              <w:top w:val="single" w:sz="8" w:color="auto"/>
            </w:tcBorders>
            <w:gridSpan w:val="6"/>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spacing w:after="0"/>
              <w:rPr>
                <w:sz w:val="20"/>
                <w:szCs w:val="20"/>
                <w:color w:val="auto"/>
              </w:rPr>
            </w:pPr>
            <w:r>
              <w:rPr>
                <w:rFonts w:ascii="Arial" w:cs="Arial" w:eastAsia="Arial" w:hAnsi="Arial"/>
                <w:sz w:val="14"/>
                <w:szCs w:val="14"/>
                <w:color w:val="auto"/>
              </w:rPr>
              <w:t>Employee compensation</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174,319</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gridSpan w:val="4"/>
            <w:shd w:val="clear" w:color="auto" w:fill="CFF0FC"/>
          </w:tcPr>
          <w:p>
            <w:pPr>
              <w:ind w:left="120"/>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FF0FC"/>
          </w:tcPr>
          <w:p>
            <w:pPr>
              <w:spacing w:after="0"/>
              <w:rPr>
                <w:sz w:val="14"/>
                <w:szCs w:val="14"/>
                <w:color w:val="auto"/>
              </w:rPr>
            </w:pPr>
          </w:p>
        </w:tc>
        <w:tc>
          <w:tcPr>
            <w:tcW w:w="1000" w:type="dxa"/>
            <w:vAlign w:val="bottom"/>
            <w:gridSpan w:val="7"/>
            <w:shd w:val="clear" w:color="auto" w:fill="CFF0FC"/>
          </w:tcPr>
          <w:p>
            <w:pPr>
              <w:jc w:val="right"/>
              <w:ind w:right="20"/>
              <w:spacing w:after="0"/>
              <w:rPr>
                <w:sz w:val="20"/>
                <w:szCs w:val="20"/>
                <w:color w:val="auto"/>
              </w:rPr>
            </w:pPr>
            <w:r>
              <w:rPr>
                <w:rFonts w:ascii="Arial" w:cs="Arial" w:eastAsia="Arial" w:hAnsi="Arial"/>
                <w:sz w:val="14"/>
                <w:szCs w:val="14"/>
                <w:color w:val="auto"/>
              </w:rPr>
              <w:t>(1,179)</w:t>
            </w:r>
          </w:p>
        </w:tc>
        <w:tc>
          <w:tcPr>
            <w:tcW w:w="420" w:type="dxa"/>
            <w:vAlign w:val="bottom"/>
            <w:gridSpan w:val="4"/>
            <w:shd w:val="clear" w:color="auto" w:fill="CFF0FC"/>
          </w:tcPr>
          <w:p>
            <w:pPr>
              <w:ind w:lef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3"/>
            <w:shd w:val="clear" w:color="auto" w:fill="CFF0FC"/>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40" w:type="dxa"/>
            <w:vAlign w:val="bottom"/>
            <w:gridSpan w:val="4"/>
            <w:shd w:val="clear" w:color="auto" w:fill="CFF0FC"/>
          </w:tcPr>
          <w:p>
            <w:pPr>
              <w:jc w:val="right"/>
              <w:ind w:right="120"/>
              <w:spacing w:after="0"/>
              <w:rPr>
                <w:sz w:val="20"/>
                <w:szCs w:val="20"/>
                <w:color w:val="auto"/>
              </w:rPr>
            </w:pPr>
            <w:r>
              <w:rPr>
                <w:rFonts w:ascii="Arial" w:cs="Arial" w:eastAsia="Arial" w:hAnsi="Arial"/>
                <w:sz w:val="14"/>
                <w:szCs w:val="14"/>
                <w:color w:val="auto"/>
              </w:rPr>
              <w:t>(1,157)</w:t>
            </w:r>
          </w:p>
        </w:tc>
        <w:tc>
          <w:tcPr>
            <w:tcW w:w="18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4"/>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171,983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gridSpan w:val="5"/>
          </w:tcPr>
          <w:p>
            <w:pPr>
              <w:spacing w:after="0"/>
              <w:rPr>
                <w:sz w:val="20"/>
                <w:szCs w:val="20"/>
                <w:color w:val="auto"/>
              </w:rPr>
            </w:pPr>
            <w:r>
              <w:rPr>
                <w:rFonts w:ascii="Arial" w:cs="Arial" w:eastAsia="Arial" w:hAnsi="Arial"/>
                <w:sz w:val="14"/>
                <w:szCs w:val="14"/>
                <w:color w:val="auto"/>
              </w:rPr>
              <w:t>Corporate - General and administrative expenses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22,821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5"/>
          </w:tcPr>
          <w:p>
            <w:pPr>
              <w:jc w:val="right"/>
              <w:ind w:right="20"/>
              <w:spacing w:after="0"/>
              <w:rPr>
                <w:sz w:val="20"/>
                <w:szCs w:val="20"/>
                <w:color w:val="auto"/>
              </w:rPr>
            </w:pPr>
            <w:r>
              <w:rPr>
                <w:rFonts w:ascii="Arial" w:cs="Arial" w:eastAsia="Arial" w:hAnsi="Arial"/>
                <w:sz w:val="14"/>
                <w:szCs w:val="14"/>
                <w:color w:val="auto"/>
              </w:rPr>
              <w:t>(566)</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6"/>
          </w:tcPr>
          <w:p>
            <w:pPr>
              <w:jc w:val="right"/>
              <w:spacing w:after="0"/>
              <w:rPr>
                <w:sz w:val="20"/>
                <w:szCs w:val="20"/>
                <w:color w:val="auto"/>
              </w:rPr>
            </w:pPr>
            <w:r>
              <w:rPr>
                <w:rFonts w:ascii="Arial" w:cs="Arial" w:eastAsia="Arial" w:hAnsi="Arial"/>
                <w:sz w:val="14"/>
                <w:szCs w:val="14"/>
                <w:color w:val="auto"/>
              </w:rPr>
              <w:t>(12,368)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14"/>
                <w:szCs w:val="14"/>
                <w:color w:val="auto"/>
              </w:rPr>
              <w:t>(58)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9,829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spacing w:after="0"/>
              <w:rPr>
                <w:sz w:val="20"/>
                <w:szCs w:val="20"/>
                <w:color w:val="auto"/>
              </w:rPr>
            </w:pPr>
            <w:r>
              <w:rPr>
                <w:rFonts w:ascii="Arial" w:cs="Arial" w:eastAsia="Arial" w:hAnsi="Arial"/>
                <w:sz w:val="14"/>
                <w:szCs w:val="14"/>
                <w:color w:val="auto"/>
              </w:rPr>
              <w:t>Operating expenses</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558,671</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7"/>
            <w:shd w:val="clear" w:color="auto" w:fill="CFF0FC"/>
          </w:tcPr>
          <w:p>
            <w:pPr>
              <w:jc w:val="right"/>
              <w:ind w:right="20"/>
              <w:spacing w:after="0"/>
              <w:rPr>
                <w:sz w:val="20"/>
                <w:szCs w:val="20"/>
                <w:color w:val="auto"/>
              </w:rPr>
            </w:pPr>
            <w:r>
              <w:rPr>
                <w:rFonts w:ascii="Arial" w:cs="Arial" w:eastAsia="Arial" w:hAnsi="Arial"/>
                <w:sz w:val="14"/>
                <w:szCs w:val="14"/>
                <w:color w:val="auto"/>
              </w:rPr>
              <w:t>(1,179)</w:t>
            </w: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920" w:type="dxa"/>
            <w:vAlign w:val="bottom"/>
            <w:gridSpan w:val="6"/>
            <w:shd w:val="clear" w:color="auto" w:fill="CFF0FC"/>
          </w:tcPr>
          <w:p>
            <w:pPr>
              <w:jc w:val="right"/>
              <w:spacing w:after="0"/>
              <w:rPr>
                <w:sz w:val="20"/>
                <w:szCs w:val="20"/>
                <w:color w:val="auto"/>
              </w:rPr>
            </w:pPr>
            <w:r>
              <w:rPr>
                <w:rFonts w:ascii="Arial" w:cs="Arial" w:eastAsia="Arial" w:hAnsi="Arial"/>
                <w:sz w:val="14"/>
                <w:szCs w:val="14"/>
                <w:color w:val="auto"/>
              </w:rPr>
              <w:t>(12,368)</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40" w:type="dxa"/>
            <w:vAlign w:val="bottom"/>
            <w:gridSpan w:val="4"/>
            <w:shd w:val="clear" w:color="auto" w:fill="CFF0FC"/>
          </w:tcPr>
          <w:p>
            <w:pPr>
              <w:jc w:val="right"/>
              <w:ind w:right="120"/>
              <w:spacing w:after="0"/>
              <w:rPr>
                <w:sz w:val="20"/>
                <w:szCs w:val="20"/>
                <w:color w:val="auto"/>
              </w:rPr>
            </w:pPr>
            <w:r>
              <w:rPr>
                <w:rFonts w:ascii="Arial" w:cs="Arial" w:eastAsia="Arial" w:hAnsi="Arial"/>
                <w:sz w:val="14"/>
                <w:szCs w:val="14"/>
                <w:color w:val="auto"/>
              </w:rPr>
              <w:t>(1,157)</w:t>
            </w:r>
          </w:p>
        </w:tc>
        <w:tc>
          <w:tcPr>
            <w:tcW w:w="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543,967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20"/>
                <w:szCs w:val="20"/>
                <w:color w:val="auto"/>
              </w:rPr>
            </w:pPr>
            <w:r>
              <w:rPr>
                <w:rFonts w:ascii="Arial" w:cs="Arial" w:eastAsia="Arial" w:hAnsi="Arial"/>
                <w:sz w:val="14"/>
                <w:szCs w:val="14"/>
                <w:color w:val="auto"/>
              </w:rPr>
              <w:t>Operating income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92,120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6"/>
          </w:tcPr>
          <w:p>
            <w:pPr>
              <w:jc w:val="right"/>
              <w:spacing w:after="0"/>
              <w:rPr>
                <w:sz w:val="20"/>
                <w:szCs w:val="20"/>
                <w:color w:val="auto"/>
              </w:rPr>
            </w:pPr>
            <w:r>
              <w:rPr>
                <w:rFonts w:ascii="Arial" w:cs="Arial" w:eastAsia="Arial" w:hAnsi="Arial"/>
                <w:sz w:val="14"/>
                <w:szCs w:val="14"/>
                <w:color w:val="auto"/>
              </w:rPr>
              <w:t>1,179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5"/>
          </w:tcPr>
          <w:p>
            <w:pPr>
              <w:jc w:val="right"/>
              <w:spacing w:after="0"/>
              <w:rPr>
                <w:sz w:val="20"/>
                <w:szCs w:val="20"/>
                <w:color w:val="auto"/>
              </w:rPr>
            </w:pPr>
            <w:r>
              <w:rPr>
                <w:rFonts w:ascii="Arial" w:cs="Arial" w:eastAsia="Arial" w:hAnsi="Arial"/>
                <w:sz w:val="14"/>
                <w:szCs w:val="14"/>
                <w:color w:val="auto"/>
              </w:rPr>
              <w:t>12,368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4"/>
                <w:szCs w:val="14"/>
                <w:color w:val="auto"/>
              </w:rPr>
              <w:t>1,157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106,824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spacing w:after="0"/>
              <w:rPr>
                <w:sz w:val="20"/>
                <w:szCs w:val="20"/>
                <w:color w:val="auto"/>
              </w:rPr>
            </w:pPr>
            <w:r>
              <w:rPr>
                <w:rFonts w:ascii="Arial" w:cs="Arial" w:eastAsia="Arial" w:hAnsi="Arial"/>
                <w:sz w:val="14"/>
                <w:szCs w:val="14"/>
                <w:color w:val="auto"/>
              </w:rPr>
              <w:t>Income before income taxes</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53,924</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6"/>
            <w:shd w:val="clear" w:color="auto" w:fill="CFF0FC"/>
          </w:tcPr>
          <w:p>
            <w:pPr>
              <w:jc w:val="right"/>
              <w:spacing w:after="0"/>
              <w:rPr>
                <w:sz w:val="20"/>
                <w:szCs w:val="20"/>
                <w:color w:val="auto"/>
              </w:rPr>
            </w:pPr>
            <w:r>
              <w:rPr>
                <w:rFonts w:ascii="Arial" w:cs="Arial" w:eastAsia="Arial" w:hAnsi="Arial"/>
                <w:sz w:val="14"/>
                <w:szCs w:val="14"/>
                <w:color w:val="auto"/>
              </w:rPr>
              <w:t>1,179</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20" w:type="dxa"/>
            <w:vAlign w:val="bottom"/>
            <w:gridSpan w:val="5"/>
            <w:shd w:val="clear" w:color="auto" w:fill="CFF0FC"/>
          </w:tcPr>
          <w:p>
            <w:pPr>
              <w:jc w:val="right"/>
              <w:spacing w:after="0"/>
              <w:rPr>
                <w:sz w:val="20"/>
                <w:szCs w:val="20"/>
                <w:color w:val="auto"/>
              </w:rPr>
            </w:pPr>
            <w:r>
              <w:rPr>
                <w:rFonts w:ascii="Arial" w:cs="Arial" w:eastAsia="Arial" w:hAnsi="Arial"/>
                <w:sz w:val="14"/>
                <w:szCs w:val="14"/>
                <w:color w:val="auto"/>
              </w:rPr>
              <w:t>12,368</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8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1,157</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2,094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70,722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16,808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4"/>
          </w:tcPr>
          <w:p>
            <w:pPr>
              <w:jc w:val="right"/>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5"/>
          </w:tcPr>
          <w:p>
            <w:pPr>
              <w:jc w:val="right"/>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4"/>
                <w:szCs w:val="14"/>
                <w:color w:val="auto"/>
              </w:rPr>
              <w:t>287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17,503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Net income attributable to TEGNA Inc.</w:t>
            </w:r>
          </w:p>
        </w:tc>
        <w:tc>
          <w:tcPr>
            <w:tcW w:w="8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37,116</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6"/>
            <w:shd w:val="clear" w:color="auto" w:fill="CFF0FC"/>
          </w:tcPr>
          <w:p>
            <w:pPr>
              <w:jc w:val="right"/>
              <w:spacing w:after="0"/>
              <w:rPr>
                <w:sz w:val="20"/>
                <w:szCs w:val="20"/>
                <w:color w:val="auto"/>
              </w:rPr>
            </w:pPr>
            <w:r>
              <w:rPr>
                <w:rFonts w:ascii="Arial" w:cs="Arial" w:eastAsia="Arial" w:hAnsi="Arial"/>
                <w:sz w:val="14"/>
                <w:szCs w:val="14"/>
                <w:color w:val="auto"/>
              </w:rPr>
              <w:t>1,089</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20" w:type="dxa"/>
            <w:vAlign w:val="bottom"/>
            <w:gridSpan w:val="5"/>
            <w:shd w:val="clear" w:color="auto" w:fill="CFF0FC"/>
          </w:tcPr>
          <w:p>
            <w:pPr>
              <w:jc w:val="right"/>
              <w:spacing w:after="0"/>
              <w:rPr>
                <w:sz w:val="20"/>
                <w:szCs w:val="20"/>
                <w:color w:val="auto"/>
              </w:rPr>
            </w:pPr>
            <w:r>
              <w:rPr>
                <w:rFonts w:ascii="Arial" w:cs="Arial" w:eastAsia="Arial" w:hAnsi="Arial"/>
                <w:sz w:val="14"/>
                <w:szCs w:val="14"/>
                <w:color w:val="auto"/>
              </w:rPr>
              <w:t>12,050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8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870</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2,094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53,219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260" w:type="dxa"/>
            <w:vAlign w:val="bottom"/>
          </w:tcPr>
          <w:p>
            <w:pPr>
              <w:spacing w:after="0"/>
              <w:rPr>
                <w:sz w:val="20"/>
                <w:szCs w:val="20"/>
                <w:color w:val="auto"/>
              </w:rPr>
            </w:pPr>
            <w:r>
              <w:rPr>
                <w:rFonts w:ascii="Arial" w:cs="Arial" w:eastAsia="Arial" w:hAnsi="Arial"/>
                <w:sz w:val="14"/>
                <w:szCs w:val="14"/>
                <w:color w:val="auto"/>
              </w:rPr>
              <w:t>Earnings per share - diluted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0.23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gridSpan w:val="4"/>
          </w:tcPr>
          <w:p>
            <w:pPr>
              <w:ind w:left="120"/>
              <w:spacing w:after="0"/>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gridSpan w:val="4"/>
          </w:tcPr>
          <w:p>
            <w:pPr>
              <w:jc w:val="right"/>
              <w:spacing w:after="0"/>
              <w:rPr>
                <w:sz w:val="20"/>
                <w:szCs w:val="20"/>
                <w:color w:val="auto"/>
              </w:rPr>
            </w:pPr>
            <w:r>
              <w:rPr>
                <w:rFonts w:ascii="Arial" w:cs="Arial" w:eastAsia="Arial" w:hAnsi="Arial"/>
                <w:sz w:val="14"/>
                <w:szCs w:val="14"/>
                <w:color w:val="auto"/>
              </w:rPr>
              <w:t>0.01</w:t>
            </w:r>
          </w:p>
        </w:tc>
        <w:tc>
          <w:tcPr>
            <w:tcW w:w="80" w:type="dxa"/>
            <w:vAlign w:val="bottom"/>
          </w:tcPr>
          <w:p>
            <w:pPr>
              <w:spacing w:after="0"/>
              <w:rPr>
                <w:sz w:val="16"/>
                <w:szCs w:val="16"/>
                <w:color w:val="auto"/>
              </w:rPr>
            </w:pPr>
          </w:p>
        </w:tc>
        <w:tc>
          <w:tcPr>
            <w:tcW w:w="420" w:type="dxa"/>
            <w:vAlign w:val="bottom"/>
            <w:gridSpan w:val="4"/>
          </w:tcPr>
          <w:p>
            <w:pPr>
              <w:ind w:lef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20" w:type="dxa"/>
            <w:vAlign w:val="bottom"/>
            <w:gridSpan w:val="5"/>
          </w:tcPr>
          <w:p>
            <w:pPr>
              <w:jc w:val="right"/>
              <w:spacing w:after="0"/>
              <w:rPr>
                <w:sz w:val="20"/>
                <w:szCs w:val="20"/>
                <w:color w:val="auto"/>
              </w:rPr>
            </w:pPr>
            <w:r>
              <w:rPr>
                <w:rFonts w:ascii="Arial" w:cs="Arial" w:eastAsia="Arial" w:hAnsi="Arial"/>
                <w:sz w:val="14"/>
                <w:szCs w:val="14"/>
                <w:color w:val="auto"/>
              </w:rPr>
              <w:t>0.07</w:t>
            </w:r>
          </w:p>
        </w:tc>
        <w:tc>
          <w:tcPr>
            <w:tcW w:w="460" w:type="dxa"/>
            <w:vAlign w:val="bottom"/>
            <w:gridSpan w:val="3"/>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4"/>
                <w:szCs w:val="14"/>
                <w:color w:val="auto"/>
              </w:rPr>
              <w:t>0.01</w:t>
            </w:r>
          </w:p>
        </w:tc>
        <w:tc>
          <w:tcPr>
            <w:tcW w:w="160" w:type="dxa"/>
            <w:vAlign w:val="bottom"/>
          </w:tcPr>
          <w:p>
            <w:pPr>
              <w:spacing w:after="0"/>
              <w:rPr>
                <w:sz w:val="16"/>
                <w:szCs w:val="16"/>
                <w:color w:val="auto"/>
              </w:rPr>
            </w:pP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0.01</w:t>
            </w:r>
          </w:p>
        </w:tc>
        <w:tc>
          <w:tcPr>
            <w:tcW w:w="340" w:type="dxa"/>
            <w:vAlign w:val="bottom"/>
            <w:gridSpan w:val="4"/>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0.33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vMerge w:val="restart"/>
          </w:tcPr>
          <w:p>
            <w:pPr>
              <w:jc w:val="center"/>
              <w:ind w:left="50"/>
              <w:spacing w:after="0"/>
              <w:rPr>
                <w:sz w:val="20"/>
                <w:szCs w:val="20"/>
                <w:color w:val="auto"/>
              </w:rPr>
            </w:pPr>
            <w:r>
              <w:rPr>
                <w:rFonts w:ascii="Arial" w:cs="Arial" w:eastAsia="Arial" w:hAnsi="Arial"/>
                <w:sz w:val="14"/>
                <w:szCs w:val="14"/>
                <w:b w:val="1"/>
                <w:bCs w:val="1"/>
                <w:color w:val="auto"/>
              </w:rPr>
              <w:t>GAAP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rPr>
              <w:t>Special Items</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46"/>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5"/>
          </w:tcPr>
          <w:p>
            <w:pPr>
              <w:jc w:val="right"/>
              <w:ind w:right="68"/>
              <w:spacing w:after="0" w:line="147" w:lineRule="exact"/>
              <w:rPr>
                <w:sz w:val="20"/>
                <w:szCs w:val="20"/>
                <w:color w:val="auto"/>
              </w:rPr>
            </w:pPr>
            <w:r>
              <w:rPr>
                <w:rFonts w:ascii="Arial" w:cs="Arial" w:eastAsia="Arial" w:hAnsi="Arial"/>
                <w:sz w:val="14"/>
                <w:szCs w:val="14"/>
                <w:b w:val="1"/>
                <w:bCs w:val="1"/>
                <w:color w:val="auto"/>
              </w:rPr>
              <w:t>Retention</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8"/>
          </w:tcPr>
          <w:p>
            <w:pPr>
              <w:jc w:val="right"/>
              <w:ind w:right="540"/>
              <w:spacing w:after="0" w:line="147" w:lineRule="exact"/>
              <w:rPr>
                <w:sz w:val="20"/>
                <w:szCs w:val="20"/>
                <w:color w:val="auto"/>
              </w:rPr>
            </w:pPr>
            <w:r>
              <w:rPr>
                <w:rFonts w:ascii="Arial" w:cs="Arial" w:eastAsia="Arial" w:hAnsi="Arial"/>
                <w:sz w:val="14"/>
                <w:szCs w:val="14"/>
                <w:b w:val="1"/>
                <w:bCs w:val="1"/>
                <w:color w:val="auto"/>
              </w:rPr>
              <w:t>Retention</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6"/>
          </w:tcPr>
          <w:p>
            <w:pPr>
              <w:jc w:val="right"/>
              <w:ind w:right="209"/>
              <w:spacing w:after="0" w:line="147" w:lineRule="exact"/>
              <w:rPr>
                <w:sz w:val="20"/>
                <w:szCs w:val="20"/>
                <w:color w:val="auto"/>
              </w:rPr>
            </w:pPr>
            <w:r>
              <w:rPr>
                <w:rFonts w:ascii="Arial" w:cs="Arial" w:eastAsia="Arial" w:hAnsi="Arial"/>
                <w:sz w:val="14"/>
                <w:szCs w:val="14"/>
                <w:b w:val="1"/>
                <w:bCs w:val="1"/>
                <w:color w:val="auto"/>
              </w:rPr>
              <w:t>Workforce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tcPr>
          <w:p>
            <w:pPr>
              <w:spacing w:after="0"/>
              <w:rPr>
                <w:sz w:val="20"/>
                <w:szCs w:val="20"/>
                <w:color w:val="auto"/>
              </w:rPr>
            </w:pPr>
            <w:r>
              <w:rPr>
                <w:rFonts w:ascii="Arial" w:cs="Arial" w:eastAsia="Arial" w:hAnsi="Arial"/>
                <w:sz w:val="14"/>
                <w:szCs w:val="14"/>
                <w:b w:val="1"/>
                <w:bCs w:val="1"/>
                <w:color w:val="auto"/>
              </w:rPr>
              <w:t>Quarter ended Sept. 30, 2024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rPr>
              <w:t>measure</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5"/>
          </w:tcPr>
          <w:p>
            <w:pPr>
              <w:jc w:val="right"/>
              <w:spacing w:after="0"/>
              <w:rPr>
                <w:sz w:val="20"/>
                <w:szCs w:val="20"/>
                <w:color w:val="auto"/>
              </w:rPr>
            </w:pPr>
            <w:r>
              <w:rPr>
                <w:rFonts w:ascii="Arial" w:cs="Arial" w:eastAsia="Arial" w:hAnsi="Arial"/>
                <w:sz w:val="14"/>
                <w:szCs w:val="14"/>
                <w:b w:val="1"/>
                <w:bCs w:val="1"/>
                <w:color w:val="auto"/>
              </w:rPr>
              <w:t>costs - SBC</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9"/>
          </w:tcPr>
          <w:p>
            <w:pPr>
              <w:jc w:val="right"/>
              <w:ind w:right="420"/>
              <w:spacing w:after="0"/>
              <w:rPr>
                <w:sz w:val="20"/>
                <w:szCs w:val="20"/>
                <w:color w:val="auto"/>
              </w:rPr>
            </w:pPr>
            <w:r>
              <w:rPr>
                <w:rFonts w:ascii="Arial" w:cs="Arial" w:eastAsia="Arial" w:hAnsi="Arial"/>
                <w:sz w:val="14"/>
                <w:szCs w:val="14"/>
                <w:b w:val="1"/>
                <w:bCs w:val="1"/>
                <w:color w:val="auto"/>
              </w:rPr>
              <w:t>costs - Cash</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8"/>
          </w:tcPr>
          <w:p>
            <w:pPr>
              <w:ind w:left="100"/>
              <w:spacing w:after="0"/>
              <w:rPr>
                <w:sz w:val="20"/>
                <w:szCs w:val="20"/>
                <w:color w:val="auto"/>
              </w:rPr>
            </w:pPr>
            <w:r>
              <w:rPr>
                <w:rFonts w:ascii="Arial" w:cs="Arial" w:eastAsia="Arial" w:hAnsi="Arial"/>
                <w:sz w:val="14"/>
                <w:szCs w:val="14"/>
                <w:b w:val="1"/>
                <w:bCs w:val="1"/>
                <w:color w:val="auto"/>
              </w:rPr>
              <w:t>restructuring</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measure</w:t>
            </w:r>
          </w:p>
        </w:tc>
        <w:tc>
          <w:tcPr>
            <w:tcW w:w="0" w:type="dxa"/>
            <w:vAlign w:val="bottom"/>
          </w:tcPr>
          <w:p>
            <w:pPr>
              <w:spacing w:after="0"/>
              <w:rPr>
                <w:sz w:val="1"/>
                <w:szCs w:val="1"/>
                <w:color w:val="auto"/>
              </w:rPr>
            </w:pPr>
          </w:p>
        </w:tc>
      </w:tr>
      <w:tr>
        <w:trPr>
          <w:trHeight w:val="155"/>
        </w:trPr>
        <w:tc>
          <w:tcPr>
            <w:tcW w:w="4540" w:type="dxa"/>
            <w:vAlign w:val="bottom"/>
            <w:tcBorders>
              <w:top w:val="single" w:sz="8" w:color="auto"/>
            </w:tcBorders>
            <w:gridSpan w:val="12"/>
          </w:tcPr>
          <w:p>
            <w:pPr>
              <w:spacing w:after="0"/>
              <w:rPr>
                <w:sz w:val="13"/>
                <w:szCs w:val="13"/>
                <w:color w:val="auto"/>
              </w:rPr>
            </w:pPr>
          </w:p>
        </w:tc>
        <w:tc>
          <w:tcPr>
            <w:tcW w:w="200" w:type="dxa"/>
            <w:vAlign w:val="bottom"/>
            <w:gridSpan w:val="4"/>
          </w:tcPr>
          <w:p>
            <w:pPr>
              <w:spacing w:after="0"/>
              <w:rPr>
                <w:sz w:val="13"/>
                <w:szCs w:val="13"/>
                <w:color w:val="auto"/>
              </w:rPr>
            </w:pPr>
          </w:p>
        </w:tc>
        <w:tc>
          <w:tcPr>
            <w:tcW w:w="940" w:type="dxa"/>
            <w:vAlign w:val="bottom"/>
            <w:tcBorders>
              <w:top w:val="single" w:sz="8" w:color="auto"/>
            </w:tcBorders>
            <w:gridSpan w:val="5"/>
          </w:tcPr>
          <w:p>
            <w:pPr>
              <w:spacing w:after="0"/>
              <w:rPr>
                <w:sz w:val="13"/>
                <w:szCs w:val="13"/>
                <w:color w:val="auto"/>
              </w:rPr>
            </w:pPr>
          </w:p>
        </w:tc>
        <w:tc>
          <w:tcPr>
            <w:tcW w:w="320" w:type="dxa"/>
            <w:vAlign w:val="bottom"/>
            <w:gridSpan w:val="5"/>
          </w:tcPr>
          <w:p>
            <w:pPr>
              <w:spacing w:after="0"/>
              <w:rPr>
                <w:sz w:val="13"/>
                <w:szCs w:val="13"/>
                <w:color w:val="auto"/>
              </w:rPr>
            </w:pPr>
          </w:p>
        </w:tc>
        <w:tc>
          <w:tcPr>
            <w:tcW w:w="900" w:type="dxa"/>
            <w:vAlign w:val="bottom"/>
            <w:tcBorders>
              <w:top w:val="single" w:sz="8" w:color="auto"/>
            </w:tcBorders>
            <w:gridSpan w:val="6"/>
          </w:tcPr>
          <w:p>
            <w:pPr>
              <w:spacing w:after="0"/>
              <w:rPr>
                <w:sz w:val="13"/>
                <w:szCs w:val="13"/>
                <w:color w:val="auto"/>
              </w:rPr>
            </w:pPr>
          </w:p>
        </w:tc>
        <w:tc>
          <w:tcPr>
            <w:tcW w:w="340" w:type="dxa"/>
            <w:vAlign w:val="bottom"/>
            <w:gridSpan w:val="3"/>
          </w:tcPr>
          <w:p>
            <w:pPr>
              <w:spacing w:after="0"/>
              <w:rPr>
                <w:sz w:val="13"/>
                <w:szCs w:val="13"/>
                <w:color w:val="auto"/>
              </w:rPr>
            </w:pPr>
          </w:p>
        </w:tc>
        <w:tc>
          <w:tcPr>
            <w:tcW w:w="1080" w:type="dxa"/>
            <w:vAlign w:val="bottom"/>
            <w:tcBorders>
              <w:top w:val="single" w:sz="8" w:color="auto"/>
            </w:tcBorders>
            <w:gridSpan w:val="7"/>
          </w:tcPr>
          <w:p>
            <w:pPr>
              <w:spacing w:after="0"/>
              <w:rPr>
                <w:sz w:val="13"/>
                <w:szCs w:val="13"/>
                <w:color w:val="auto"/>
              </w:rPr>
            </w:pPr>
          </w:p>
        </w:tc>
        <w:tc>
          <w:tcPr>
            <w:tcW w:w="320" w:type="dxa"/>
            <w:vAlign w:val="bottom"/>
            <w:gridSpan w:val="3"/>
          </w:tcPr>
          <w:p>
            <w:pPr>
              <w:spacing w:after="0"/>
              <w:rPr>
                <w:sz w:val="13"/>
                <w:szCs w:val="13"/>
                <w:color w:val="auto"/>
              </w:rPr>
            </w:pPr>
          </w:p>
        </w:tc>
        <w:tc>
          <w:tcPr>
            <w:tcW w:w="1200" w:type="dxa"/>
            <w:vAlign w:val="bottom"/>
            <w:tcBorders>
              <w:top w:val="single" w:sz="8" w:color="auto"/>
            </w:tcBorders>
            <w:gridSpan w:val="8"/>
          </w:tcPr>
          <w:p>
            <w:pPr>
              <w:spacing w:after="0"/>
              <w:rPr>
                <w:sz w:val="13"/>
                <w:szCs w:val="13"/>
                <w:color w:val="auto"/>
              </w:rPr>
            </w:pPr>
          </w:p>
        </w:tc>
        <w:tc>
          <w:tcPr>
            <w:tcW w:w="320" w:type="dxa"/>
            <w:vAlign w:val="bottom"/>
            <w:gridSpan w:val="4"/>
          </w:tcPr>
          <w:p>
            <w:pPr>
              <w:spacing w:after="0"/>
              <w:rPr>
                <w:sz w:val="13"/>
                <w:szCs w:val="13"/>
                <w:color w:val="auto"/>
              </w:rPr>
            </w:pPr>
          </w:p>
        </w:tc>
        <w:tc>
          <w:tcPr>
            <w:tcW w:w="960" w:type="dxa"/>
            <w:vAlign w:val="bottom"/>
            <w:tcBorders>
              <w:top w:val="single" w:sz="8" w:color="auto"/>
            </w:tcBorders>
            <w:gridSpan w:val="4"/>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spacing w:after="0"/>
              <w:rPr>
                <w:sz w:val="20"/>
                <w:szCs w:val="20"/>
                <w:color w:val="auto"/>
              </w:rPr>
            </w:pPr>
            <w:r>
              <w:rPr>
                <w:rFonts w:ascii="Arial" w:cs="Arial" w:eastAsia="Arial" w:hAnsi="Arial"/>
                <w:sz w:val="14"/>
                <w:szCs w:val="14"/>
                <w:color w:val="auto"/>
              </w:rPr>
              <w:t>Employee compensation</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gridSpan w:val="5"/>
            <w:shd w:val="clear" w:color="auto" w:fill="CFF0FC"/>
          </w:tcPr>
          <w:p>
            <w:pPr>
              <w:ind w:left="200"/>
              <w:spacing w:after="0"/>
              <w:rPr>
                <w:sz w:val="20"/>
                <w:szCs w:val="20"/>
                <w:color w:val="auto"/>
              </w:rPr>
            </w:pPr>
            <w:r>
              <w:rPr>
                <w:rFonts w:ascii="Arial" w:cs="Arial" w:eastAsia="Arial" w:hAnsi="Arial"/>
                <w:sz w:val="14"/>
                <w:szCs w:val="14"/>
                <w:color w:val="auto"/>
              </w:rPr>
              <w:t>$</w:t>
            </w:r>
          </w:p>
        </w:tc>
        <w:tc>
          <w:tcPr>
            <w:tcW w:w="820" w:type="dxa"/>
            <w:vAlign w:val="bottom"/>
            <w:gridSpan w:val="4"/>
            <w:shd w:val="clear" w:color="auto" w:fill="CFF0FC"/>
          </w:tcPr>
          <w:p>
            <w:pPr>
              <w:jc w:val="right"/>
              <w:ind w:right="20"/>
              <w:spacing w:after="0"/>
              <w:rPr>
                <w:sz w:val="20"/>
                <w:szCs w:val="20"/>
                <w:color w:val="auto"/>
              </w:rPr>
            </w:pPr>
            <w:r>
              <w:rPr>
                <w:rFonts w:ascii="Arial" w:cs="Arial" w:eastAsia="Arial" w:hAnsi="Arial"/>
                <w:sz w:val="14"/>
                <w:szCs w:val="14"/>
                <w:color w:val="auto"/>
              </w:rPr>
              <w:t>193,380</w:t>
            </w: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gridSpan w:val="4"/>
            <w:shd w:val="clear" w:color="auto" w:fill="CFF0FC"/>
          </w:tcPr>
          <w:p>
            <w:pPr>
              <w:ind w:lef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20" w:type="dxa"/>
            <w:vAlign w:val="bottom"/>
            <w:gridSpan w:val="5"/>
            <w:shd w:val="clear" w:color="auto" w:fill="CFF0FC"/>
          </w:tcPr>
          <w:p>
            <w:pPr>
              <w:jc w:val="right"/>
              <w:ind w:right="108"/>
              <w:spacing w:after="0"/>
              <w:rPr>
                <w:sz w:val="20"/>
                <w:szCs w:val="20"/>
                <w:color w:val="auto"/>
              </w:rPr>
            </w:pPr>
            <w:r>
              <w:rPr>
                <w:rFonts w:ascii="Arial" w:cs="Arial" w:eastAsia="Arial" w:hAnsi="Arial"/>
                <w:sz w:val="14"/>
                <w:szCs w:val="14"/>
                <w:color w:val="auto"/>
              </w:rPr>
              <w:t>(4,044)</w:t>
            </w:r>
          </w:p>
        </w:tc>
        <w:tc>
          <w:tcPr>
            <w:tcW w:w="22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8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(2,390)</w:t>
            </w:r>
          </w:p>
        </w:tc>
        <w:tc>
          <w:tcPr>
            <w:tcW w:w="160" w:type="dxa"/>
            <w:vAlign w:val="bottom"/>
            <w:shd w:val="clear" w:color="auto" w:fill="CFF0FC"/>
          </w:tcPr>
          <w:p>
            <w:pPr>
              <w:spacing w:after="0"/>
              <w:rPr>
                <w:sz w:val="14"/>
                <w:szCs w:val="14"/>
                <w:color w:val="auto"/>
              </w:rPr>
            </w:pPr>
          </w:p>
        </w:tc>
        <w:tc>
          <w:tcPr>
            <w:tcW w:w="180" w:type="dxa"/>
            <w:vAlign w:val="bottom"/>
            <w:gridSpan w:val="3"/>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(4,167)</w:t>
            </w:r>
          </w:p>
        </w:tc>
        <w:tc>
          <w:tcPr>
            <w:tcW w:w="340" w:type="dxa"/>
            <w:vAlign w:val="bottom"/>
            <w:gridSpan w:val="4"/>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182,779</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gridSpan w:val="5"/>
          </w:tcPr>
          <w:p>
            <w:pPr>
              <w:spacing w:after="0"/>
              <w:rPr>
                <w:sz w:val="20"/>
                <w:szCs w:val="20"/>
                <w:color w:val="auto"/>
              </w:rPr>
            </w:pPr>
            <w:r>
              <w:rPr>
                <w:rFonts w:ascii="Arial" w:cs="Arial" w:eastAsia="Arial" w:hAnsi="Arial"/>
                <w:sz w:val="14"/>
                <w:szCs w:val="14"/>
                <w:color w:val="auto"/>
              </w:rPr>
              <w:t>Corporate - General and administrative expenses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4"/>
                <w:szCs w:val="14"/>
                <w:color w:val="auto"/>
              </w:rPr>
              <w:t>13,188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5"/>
          </w:tcPr>
          <w:p>
            <w:pPr>
              <w:jc w:val="right"/>
              <w:ind w:right="108"/>
              <w:spacing w:after="0"/>
              <w:rPr>
                <w:sz w:val="20"/>
                <w:szCs w:val="20"/>
                <w:color w:val="auto"/>
              </w:rPr>
            </w:pPr>
            <w:r>
              <w:rPr>
                <w:rFonts w:ascii="Arial" w:cs="Arial" w:eastAsia="Arial" w:hAnsi="Arial"/>
                <w:sz w:val="14"/>
                <w:szCs w:val="14"/>
                <w:color w:val="auto"/>
              </w:rPr>
              <w:t>(1,771)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4"/>
                <w:szCs w:val="14"/>
                <w:color w:val="auto"/>
              </w:rPr>
              <w:t>(1,181)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(1,231)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9,005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spacing w:after="0"/>
              <w:rPr>
                <w:sz w:val="20"/>
                <w:szCs w:val="20"/>
                <w:color w:val="auto"/>
              </w:rPr>
            </w:pPr>
            <w:r>
              <w:rPr>
                <w:rFonts w:ascii="Arial" w:cs="Arial" w:eastAsia="Arial" w:hAnsi="Arial"/>
                <w:sz w:val="14"/>
                <w:szCs w:val="14"/>
                <w:color w:val="auto"/>
              </w:rPr>
              <w:t>Operating expenses</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4"/>
            <w:shd w:val="clear" w:color="auto" w:fill="CFF0FC"/>
          </w:tcPr>
          <w:p>
            <w:pPr>
              <w:jc w:val="right"/>
              <w:ind w:right="20"/>
              <w:spacing w:after="0"/>
              <w:rPr>
                <w:sz w:val="20"/>
                <w:szCs w:val="20"/>
                <w:color w:val="auto"/>
              </w:rPr>
            </w:pPr>
            <w:r>
              <w:rPr>
                <w:rFonts w:ascii="Arial" w:cs="Arial" w:eastAsia="Arial" w:hAnsi="Arial"/>
                <w:sz w:val="14"/>
                <w:szCs w:val="14"/>
                <w:color w:val="auto"/>
              </w:rPr>
              <w:t>576,935</w:t>
            </w: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20" w:type="dxa"/>
            <w:vAlign w:val="bottom"/>
            <w:gridSpan w:val="5"/>
            <w:shd w:val="clear" w:color="auto" w:fill="CFF0FC"/>
          </w:tcPr>
          <w:p>
            <w:pPr>
              <w:jc w:val="right"/>
              <w:ind w:right="108"/>
              <w:spacing w:after="0"/>
              <w:rPr>
                <w:sz w:val="20"/>
                <w:szCs w:val="20"/>
                <w:color w:val="auto"/>
              </w:rPr>
            </w:pPr>
            <w:r>
              <w:rPr>
                <w:rFonts w:ascii="Arial" w:cs="Arial" w:eastAsia="Arial" w:hAnsi="Arial"/>
                <w:sz w:val="14"/>
                <w:szCs w:val="14"/>
                <w:color w:val="auto"/>
              </w:rPr>
              <w:t>(4,044)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8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(2,390)</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(4,167)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566,334</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gridSpan w:val="17"/>
          </w:tcPr>
          <w:p>
            <w:pPr>
              <w:spacing w:after="0"/>
              <w:rPr>
                <w:sz w:val="20"/>
                <w:szCs w:val="20"/>
                <w:color w:val="auto"/>
              </w:rPr>
            </w:pPr>
            <w:r>
              <w:rPr>
                <w:rFonts w:ascii="Arial" w:cs="Arial" w:eastAsia="Arial" w:hAnsi="Arial"/>
                <w:sz w:val="14"/>
                <w:szCs w:val="14"/>
                <w:color w:val="auto"/>
              </w:rPr>
              <w:t>Operating income</w:t>
            </w:r>
          </w:p>
        </w:tc>
        <w:tc>
          <w:tcPr>
            <w:tcW w:w="1460" w:type="dxa"/>
            <w:vAlign w:val="bottom"/>
            <w:gridSpan w:val="12"/>
          </w:tcPr>
          <w:p>
            <w:pPr>
              <w:jc w:val="right"/>
              <w:ind w:right="660"/>
              <w:spacing w:after="0"/>
              <w:rPr>
                <w:sz w:val="20"/>
                <w:szCs w:val="20"/>
                <w:color w:val="auto"/>
              </w:rPr>
            </w:pPr>
            <w:r>
              <w:rPr>
                <w:rFonts w:ascii="Arial" w:cs="Arial" w:eastAsia="Arial" w:hAnsi="Arial"/>
                <w:sz w:val="14"/>
                <w:szCs w:val="14"/>
                <w:color w:val="auto"/>
              </w:rPr>
              <w:t>229,892</w:t>
            </w:r>
          </w:p>
        </w:tc>
        <w:tc>
          <w:tcPr>
            <w:tcW w:w="1560" w:type="dxa"/>
            <w:vAlign w:val="bottom"/>
            <w:gridSpan w:val="11"/>
          </w:tcPr>
          <w:p>
            <w:pPr>
              <w:jc w:val="right"/>
              <w:ind w:right="929"/>
              <w:spacing w:after="0"/>
              <w:rPr>
                <w:sz w:val="20"/>
                <w:szCs w:val="20"/>
                <w:color w:val="auto"/>
              </w:rPr>
            </w:pPr>
            <w:r>
              <w:rPr>
                <w:rFonts w:ascii="Arial" w:cs="Arial" w:eastAsia="Arial" w:hAnsi="Arial"/>
                <w:sz w:val="14"/>
                <w:szCs w:val="14"/>
                <w:color w:val="auto"/>
              </w:rPr>
              <w:t>4,044</w:t>
            </w:r>
          </w:p>
        </w:tc>
        <w:tc>
          <w:tcPr>
            <w:tcW w:w="1500" w:type="dxa"/>
            <w:vAlign w:val="bottom"/>
            <w:gridSpan w:val="12"/>
          </w:tcPr>
          <w:p>
            <w:pPr>
              <w:jc w:val="right"/>
              <w:ind w:right="1008"/>
              <w:spacing w:after="0"/>
              <w:rPr>
                <w:sz w:val="20"/>
                <w:szCs w:val="20"/>
                <w:color w:val="auto"/>
              </w:rPr>
            </w:pPr>
            <w:r>
              <w:rPr>
                <w:rFonts w:ascii="Arial" w:cs="Arial" w:eastAsia="Arial" w:hAnsi="Arial"/>
                <w:sz w:val="14"/>
                <w:szCs w:val="14"/>
                <w:color w:val="auto"/>
              </w:rPr>
              <w:t>2,390</w:t>
            </w:r>
          </w:p>
        </w:tc>
        <w:tc>
          <w:tcPr>
            <w:tcW w:w="1060" w:type="dxa"/>
            <w:vAlign w:val="bottom"/>
            <w:gridSpan w:val="8"/>
          </w:tcPr>
          <w:p>
            <w:pPr>
              <w:jc w:val="right"/>
              <w:ind w:right="551"/>
              <w:spacing w:after="0"/>
              <w:rPr>
                <w:sz w:val="20"/>
                <w:szCs w:val="20"/>
                <w:color w:val="auto"/>
              </w:rPr>
            </w:pPr>
            <w:r>
              <w:rPr>
                <w:rFonts w:ascii="Arial" w:cs="Arial" w:eastAsia="Arial" w:hAnsi="Arial"/>
                <w:sz w:val="14"/>
                <w:szCs w:val="14"/>
                <w:color w:val="auto"/>
              </w:rPr>
              <w:t>4,167</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240,493</w:t>
            </w:r>
          </w:p>
        </w:tc>
        <w:tc>
          <w:tcPr>
            <w:tcW w:w="0" w:type="dxa"/>
            <w:vAlign w:val="bottom"/>
          </w:tcPr>
          <w:p>
            <w:pPr>
              <w:spacing w:after="0"/>
              <w:rPr>
                <w:sz w:val="1"/>
                <w:szCs w:val="1"/>
                <w:color w:val="auto"/>
              </w:rPr>
            </w:pPr>
          </w:p>
        </w:tc>
      </w:tr>
      <w:tr>
        <w:trPr>
          <w:trHeight w:val="162"/>
        </w:trPr>
        <w:tc>
          <w:tcPr>
            <w:tcW w:w="4860" w:type="dxa"/>
            <w:vAlign w:val="bottom"/>
            <w:gridSpan w:val="17"/>
            <w:shd w:val="clear" w:color="auto" w:fill="CFF0FC"/>
          </w:tcPr>
          <w:p>
            <w:pPr>
              <w:spacing w:after="0"/>
              <w:rPr>
                <w:sz w:val="20"/>
                <w:szCs w:val="20"/>
                <w:color w:val="auto"/>
              </w:rPr>
            </w:pPr>
            <w:r>
              <w:rPr>
                <w:rFonts w:ascii="Arial" w:cs="Arial" w:eastAsia="Arial" w:hAnsi="Arial"/>
                <w:sz w:val="14"/>
                <w:szCs w:val="14"/>
                <w:color w:val="auto"/>
              </w:rPr>
              <w:t>Income before income taxes</w:t>
            </w:r>
          </w:p>
        </w:tc>
        <w:tc>
          <w:tcPr>
            <w:tcW w:w="1460" w:type="dxa"/>
            <w:vAlign w:val="bottom"/>
            <w:gridSpan w:val="12"/>
            <w:shd w:val="clear" w:color="auto" w:fill="CFF0FC"/>
          </w:tcPr>
          <w:p>
            <w:pPr>
              <w:jc w:val="right"/>
              <w:ind w:right="660"/>
              <w:spacing w:after="0"/>
              <w:rPr>
                <w:sz w:val="20"/>
                <w:szCs w:val="20"/>
                <w:color w:val="auto"/>
              </w:rPr>
            </w:pPr>
            <w:r>
              <w:rPr>
                <w:rFonts w:ascii="Arial" w:cs="Arial" w:eastAsia="Arial" w:hAnsi="Arial"/>
                <w:sz w:val="14"/>
                <w:szCs w:val="14"/>
                <w:color w:val="auto"/>
              </w:rPr>
              <w:t>191,931</w:t>
            </w:r>
          </w:p>
        </w:tc>
        <w:tc>
          <w:tcPr>
            <w:tcW w:w="1560" w:type="dxa"/>
            <w:vAlign w:val="bottom"/>
            <w:gridSpan w:val="11"/>
            <w:shd w:val="clear" w:color="auto" w:fill="CFF0FC"/>
          </w:tcPr>
          <w:p>
            <w:pPr>
              <w:jc w:val="right"/>
              <w:ind w:right="929"/>
              <w:spacing w:after="0"/>
              <w:rPr>
                <w:sz w:val="20"/>
                <w:szCs w:val="20"/>
                <w:color w:val="auto"/>
              </w:rPr>
            </w:pPr>
            <w:r>
              <w:rPr>
                <w:rFonts w:ascii="Arial" w:cs="Arial" w:eastAsia="Arial" w:hAnsi="Arial"/>
                <w:sz w:val="14"/>
                <w:szCs w:val="14"/>
                <w:color w:val="auto"/>
              </w:rPr>
              <w:t>4,044</w:t>
            </w:r>
          </w:p>
        </w:tc>
        <w:tc>
          <w:tcPr>
            <w:tcW w:w="1500" w:type="dxa"/>
            <w:vAlign w:val="bottom"/>
            <w:gridSpan w:val="12"/>
            <w:shd w:val="clear" w:color="auto" w:fill="CFF0FC"/>
          </w:tcPr>
          <w:p>
            <w:pPr>
              <w:jc w:val="right"/>
              <w:ind w:right="1008"/>
              <w:spacing w:after="0"/>
              <w:rPr>
                <w:sz w:val="20"/>
                <w:szCs w:val="20"/>
                <w:color w:val="auto"/>
              </w:rPr>
            </w:pPr>
            <w:r>
              <w:rPr>
                <w:rFonts w:ascii="Arial" w:cs="Arial" w:eastAsia="Arial" w:hAnsi="Arial"/>
                <w:sz w:val="14"/>
                <w:szCs w:val="14"/>
                <w:color w:val="auto"/>
              </w:rPr>
              <w:t>2,390</w:t>
            </w:r>
          </w:p>
        </w:tc>
        <w:tc>
          <w:tcPr>
            <w:tcW w:w="1060" w:type="dxa"/>
            <w:vAlign w:val="bottom"/>
            <w:gridSpan w:val="8"/>
            <w:shd w:val="clear" w:color="auto" w:fill="CFF0FC"/>
          </w:tcPr>
          <w:p>
            <w:pPr>
              <w:jc w:val="right"/>
              <w:ind w:right="551"/>
              <w:spacing w:after="0"/>
              <w:rPr>
                <w:sz w:val="20"/>
                <w:szCs w:val="20"/>
                <w:color w:val="auto"/>
              </w:rPr>
            </w:pPr>
            <w:r>
              <w:rPr>
                <w:rFonts w:ascii="Arial" w:cs="Arial" w:eastAsia="Arial" w:hAnsi="Arial"/>
                <w:sz w:val="14"/>
                <w:szCs w:val="14"/>
                <w:color w:val="auto"/>
              </w:rPr>
              <w:t>4,167</w:t>
            </w:r>
          </w:p>
        </w:tc>
        <w:tc>
          <w:tcPr>
            <w:tcW w:w="800" w:type="dxa"/>
            <w:vAlign w:val="bottom"/>
            <w:gridSpan w:val="3"/>
            <w:shd w:val="clear" w:color="auto" w:fill="CFF0FC"/>
          </w:tcPr>
          <w:p>
            <w:pPr>
              <w:jc w:val="right"/>
              <w:ind w:right="140"/>
              <w:spacing w:after="0"/>
              <w:rPr>
                <w:sz w:val="20"/>
                <w:szCs w:val="20"/>
                <w:color w:val="auto"/>
              </w:rPr>
            </w:pPr>
            <w:r>
              <w:rPr>
                <w:rFonts w:ascii="Arial" w:cs="Arial" w:eastAsia="Arial" w:hAnsi="Arial"/>
                <w:sz w:val="14"/>
                <w:szCs w:val="14"/>
                <w:color w:val="auto"/>
              </w:rPr>
              <w:t>202,532</w:t>
            </w:r>
          </w:p>
        </w:tc>
        <w:tc>
          <w:tcPr>
            <w:tcW w:w="0" w:type="dxa"/>
            <w:vAlign w:val="bottom"/>
          </w:tcPr>
          <w:p>
            <w:pPr>
              <w:spacing w:after="0"/>
              <w:rPr>
                <w:sz w:val="1"/>
                <w:szCs w:val="1"/>
                <w:color w:val="auto"/>
              </w:rPr>
            </w:pPr>
          </w:p>
        </w:tc>
      </w:tr>
      <w:tr>
        <w:trPr>
          <w:trHeight w:val="162"/>
        </w:trPr>
        <w:tc>
          <w:tcPr>
            <w:tcW w:w="4860" w:type="dxa"/>
            <w:vAlign w:val="bottom"/>
            <w:gridSpan w:val="17"/>
          </w:tcPr>
          <w:p>
            <w:pPr>
              <w:spacing w:after="0"/>
              <w:rPr>
                <w:sz w:val="20"/>
                <w:szCs w:val="20"/>
                <w:color w:val="auto"/>
              </w:rPr>
            </w:pPr>
            <w:r>
              <w:rPr>
                <w:rFonts w:ascii="Arial" w:cs="Arial" w:eastAsia="Arial" w:hAnsi="Arial"/>
                <w:sz w:val="14"/>
                <w:szCs w:val="14"/>
                <w:color w:val="auto"/>
              </w:rPr>
              <w:t>Provision for income taxes</w:t>
            </w:r>
          </w:p>
        </w:tc>
        <w:tc>
          <w:tcPr>
            <w:tcW w:w="1460" w:type="dxa"/>
            <w:vAlign w:val="bottom"/>
            <w:gridSpan w:val="12"/>
          </w:tcPr>
          <w:p>
            <w:pPr>
              <w:jc w:val="right"/>
              <w:ind w:right="660"/>
              <w:spacing w:after="0"/>
              <w:rPr>
                <w:sz w:val="20"/>
                <w:szCs w:val="20"/>
                <w:color w:val="auto"/>
              </w:rPr>
            </w:pPr>
            <w:r>
              <w:rPr>
                <w:rFonts w:ascii="Arial" w:cs="Arial" w:eastAsia="Arial" w:hAnsi="Arial"/>
                <w:sz w:val="14"/>
                <w:szCs w:val="14"/>
                <w:color w:val="auto"/>
              </w:rPr>
              <w:t>44,743</w:t>
            </w:r>
          </w:p>
        </w:tc>
        <w:tc>
          <w:tcPr>
            <w:tcW w:w="1560" w:type="dxa"/>
            <w:vAlign w:val="bottom"/>
            <w:gridSpan w:val="11"/>
          </w:tcPr>
          <w:p>
            <w:pPr>
              <w:jc w:val="right"/>
              <w:ind w:right="929"/>
              <w:spacing w:after="0"/>
              <w:rPr>
                <w:sz w:val="20"/>
                <w:szCs w:val="20"/>
                <w:color w:val="auto"/>
              </w:rPr>
            </w:pPr>
            <w:r>
              <w:rPr>
                <w:rFonts w:ascii="Arial" w:cs="Arial" w:eastAsia="Arial" w:hAnsi="Arial"/>
                <w:sz w:val="14"/>
                <w:szCs w:val="14"/>
                <w:color w:val="auto"/>
              </w:rPr>
              <w:t>242</w:t>
            </w:r>
          </w:p>
        </w:tc>
        <w:tc>
          <w:tcPr>
            <w:tcW w:w="1500" w:type="dxa"/>
            <w:vAlign w:val="bottom"/>
            <w:gridSpan w:val="12"/>
          </w:tcPr>
          <w:p>
            <w:pPr>
              <w:jc w:val="right"/>
              <w:ind w:right="1008"/>
              <w:spacing w:after="0"/>
              <w:rPr>
                <w:sz w:val="20"/>
                <w:szCs w:val="20"/>
                <w:color w:val="auto"/>
              </w:rPr>
            </w:pPr>
            <w:r>
              <w:rPr>
                <w:rFonts w:ascii="Arial" w:cs="Arial" w:eastAsia="Arial" w:hAnsi="Arial"/>
                <w:sz w:val="14"/>
                <w:szCs w:val="14"/>
                <w:color w:val="auto"/>
              </w:rPr>
              <w:t>430</w:t>
            </w:r>
          </w:p>
        </w:tc>
        <w:tc>
          <w:tcPr>
            <w:tcW w:w="1060" w:type="dxa"/>
            <w:vAlign w:val="bottom"/>
            <w:gridSpan w:val="8"/>
          </w:tcPr>
          <w:p>
            <w:pPr>
              <w:jc w:val="right"/>
              <w:ind w:right="551"/>
              <w:spacing w:after="0"/>
              <w:rPr>
                <w:sz w:val="20"/>
                <w:szCs w:val="20"/>
                <w:color w:val="auto"/>
              </w:rPr>
            </w:pPr>
            <w:r>
              <w:rPr>
                <w:rFonts w:ascii="Arial" w:cs="Arial" w:eastAsia="Arial" w:hAnsi="Arial"/>
                <w:sz w:val="14"/>
                <w:szCs w:val="14"/>
                <w:color w:val="auto"/>
              </w:rPr>
              <w:t>518</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45,933</w:t>
            </w:r>
          </w:p>
        </w:tc>
        <w:tc>
          <w:tcPr>
            <w:tcW w:w="0" w:type="dxa"/>
            <w:vAlign w:val="bottom"/>
          </w:tcPr>
          <w:p>
            <w:pPr>
              <w:spacing w:after="0"/>
              <w:rPr>
                <w:sz w:val="1"/>
                <w:szCs w:val="1"/>
                <w:color w:val="auto"/>
              </w:rPr>
            </w:pPr>
          </w:p>
        </w:tc>
      </w:tr>
      <w:tr>
        <w:trPr>
          <w:trHeight w:val="162"/>
        </w:trPr>
        <w:tc>
          <w:tcPr>
            <w:tcW w:w="25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Net income attributable to TEGNA Inc.</w:t>
            </w:r>
          </w:p>
        </w:tc>
        <w:tc>
          <w:tcPr>
            <w:tcW w:w="8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4"/>
            <w:shd w:val="clear" w:color="auto" w:fill="CFF0FC"/>
          </w:tcPr>
          <w:p>
            <w:pPr>
              <w:jc w:val="right"/>
              <w:ind w:right="20"/>
              <w:spacing w:after="0"/>
              <w:rPr>
                <w:sz w:val="20"/>
                <w:szCs w:val="20"/>
                <w:color w:val="auto"/>
              </w:rPr>
            </w:pPr>
            <w:r>
              <w:rPr>
                <w:rFonts w:ascii="Arial" w:cs="Arial" w:eastAsia="Arial" w:hAnsi="Arial"/>
                <w:sz w:val="14"/>
                <w:szCs w:val="14"/>
                <w:color w:val="auto"/>
              </w:rPr>
              <w:t>147,448</w:t>
            </w: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3,802</w:t>
            </w:r>
          </w:p>
        </w:tc>
        <w:tc>
          <w:tcPr>
            <w:tcW w:w="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1,960</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3,649</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156,859</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260" w:type="dxa"/>
            <w:vAlign w:val="bottom"/>
          </w:tcPr>
          <w:p>
            <w:pPr>
              <w:spacing w:after="0"/>
              <w:rPr>
                <w:sz w:val="20"/>
                <w:szCs w:val="20"/>
                <w:color w:val="auto"/>
              </w:rPr>
            </w:pPr>
            <w:r>
              <w:rPr>
                <w:rFonts w:ascii="Arial" w:cs="Arial" w:eastAsia="Arial" w:hAnsi="Arial"/>
                <w:sz w:val="14"/>
                <w:szCs w:val="14"/>
                <w:color w:val="auto"/>
              </w:rPr>
              <w:t>Earnings per share - diluted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5"/>
          </w:tcPr>
          <w:p>
            <w:pPr>
              <w:ind w:left="200"/>
              <w:spacing w:after="0"/>
              <w:rPr>
                <w:sz w:val="20"/>
                <w:szCs w:val="20"/>
                <w:color w:val="auto"/>
              </w:rPr>
            </w:pPr>
            <w:r>
              <w:rPr>
                <w:rFonts w:ascii="Arial" w:cs="Arial" w:eastAsia="Arial" w:hAnsi="Arial"/>
                <w:sz w:val="14"/>
                <w:szCs w:val="14"/>
                <w:color w:val="auto"/>
              </w:rPr>
              <w:t>$</w:t>
            </w:r>
          </w:p>
        </w:tc>
        <w:tc>
          <w:tcPr>
            <w:tcW w:w="820" w:type="dxa"/>
            <w:vAlign w:val="bottom"/>
            <w:gridSpan w:val="4"/>
          </w:tcPr>
          <w:p>
            <w:pPr>
              <w:jc w:val="right"/>
              <w:ind w:right="20"/>
              <w:spacing w:after="0"/>
              <w:rPr>
                <w:sz w:val="20"/>
                <w:szCs w:val="20"/>
                <w:color w:val="auto"/>
              </w:rPr>
            </w:pPr>
            <w:r>
              <w:rPr>
                <w:rFonts w:ascii="Arial" w:cs="Arial" w:eastAsia="Arial" w:hAnsi="Arial"/>
                <w:sz w:val="14"/>
                <w:szCs w:val="14"/>
                <w:color w:val="auto"/>
              </w:rPr>
              <w:t>0.89</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gridSpan w:val="4"/>
          </w:tcPr>
          <w:p>
            <w:pPr>
              <w:ind w:lef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0.02</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0.01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0.02</w:t>
            </w:r>
          </w:p>
        </w:tc>
        <w:tc>
          <w:tcPr>
            <w:tcW w:w="60" w:type="dxa"/>
            <w:vAlign w:val="bottom"/>
          </w:tcPr>
          <w:p>
            <w:pPr>
              <w:spacing w:after="0"/>
              <w:rPr>
                <w:sz w:val="16"/>
                <w:szCs w:val="16"/>
                <w:color w:val="auto"/>
              </w:rPr>
            </w:pPr>
          </w:p>
        </w:tc>
        <w:tc>
          <w:tcPr>
            <w:tcW w:w="34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0.94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10"/>
          </w:tcPr>
          <w:p>
            <w:pPr>
              <w:jc w:val="right"/>
              <w:ind w:right="560"/>
              <w:spacing w:after="0"/>
              <w:rPr>
                <w:sz w:val="20"/>
                <w:szCs w:val="20"/>
                <w:color w:val="auto"/>
              </w:rPr>
            </w:pPr>
            <w:r>
              <w:rPr>
                <w:rFonts w:ascii="Arial" w:cs="Arial" w:eastAsia="Arial" w:hAnsi="Arial"/>
                <w:sz w:val="13"/>
                <w:szCs w:val="13"/>
                <w:b w:val="1"/>
                <w:bCs w:val="1"/>
                <w:color w:val="auto"/>
              </w:rPr>
              <w:t>Special Items</w:t>
            </w: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GAAP</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4"/>
            <w:vMerge w:val="restart"/>
          </w:tcPr>
          <w:p>
            <w:pPr>
              <w:jc w:val="right"/>
              <w:ind w:right="300"/>
              <w:spacing w:after="0"/>
              <w:rPr>
                <w:sz w:val="20"/>
                <w:szCs w:val="20"/>
                <w:color w:val="auto"/>
              </w:rPr>
            </w:pPr>
            <w:r>
              <w:rPr>
                <w:rFonts w:ascii="Arial" w:cs="Arial" w:eastAsia="Arial" w:hAnsi="Arial"/>
                <w:sz w:val="13"/>
                <w:szCs w:val="13"/>
                <w:b w:val="1"/>
                <w:bCs w:val="1"/>
                <w:color w:val="auto"/>
              </w:rPr>
              <w:t>Earnout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9"/>
            <w:vMerge w:val="restart"/>
          </w:tcPr>
          <w:p>
            <w:pPr>
              <w:jc w:val="center"/>
              <w:ind w:right="140"/>
              <w:spacing w:after="0"/>
              <w:rPr>
                <w:sz w:val="20"/>
                <w:szCs w:val="20"/>
                <w:color w:val="auto"/>
              </w:rPr>
            </w:pPr>
            <w:r>
              <w:rPr>
                <w:rFonts w:ascii="Arial" w:cs="Arial" w:eastAsia="Arial" w:hAnsi="Arial"/>
                <w:sz w:val="13"/>
                <w:szCs w:val="13"/>
                <w:b w:val="1"/>
                <w:bCs w:val="1"/>
                <w:color w:val="auto"/>
              </w:rPr>
              <w:t>Retention costs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6"/>
          </w:tcPr>
          <w:p>
            <w:pPr>
              <w:ind w:left="20"/>
              <w:spacing w:after="0"/>
              <w:rPr>
                <w:sz w:val="20"/>
                <w:szCs w:val="20"/>
                <w:color w:val="auto"/>
              </w:rPr>
            </w:pPr>
            <w:r>
              <w:rPr>
                <w:rFonts w:ascii="Arial" w:cs="Arial" w:eastAsia="Arial" w:hAnsi="Arial"/>
                <w:sz w:val="13"/>
                <w:szCs w:val="13"/>
                <w:b w:val="1"/>
                <w:bCs w:val="1"/>
                <w:color w:val="auto"/>
              </w:rPr>
              <w:t>Retention</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5"/>
          </w:tcPr>
          <w:p>
            <w:pPr>
              <w:jc w:val="right"/>
              <w:ind w:right="300"/>
              <w:spacing w:after="0" w:line="155" w:lineRule="exact"/>
              <w:rPr>
                <w:sz w:val="20"/>
                <w:szCs w:val="20"/>
                <w:color w:val="auto"/>
              </w:rPr>
            </w:pPr>
            <w:r>
              <w:rPr>
                <w:rFonts w:ascii="Arial" w:cs="Arial" w:eastAsia="Arial" w:hAnsi="Arial"/>
                <w:sz w:val="14"/>
                <w:szCs w:val="14"/>
                <w:b w:val="1"/>
                <w:bCs w:val="1"/>
                <w:color w:val="auto"/>
                <w:w w:val="98"/>
              </w:rPr>
              <w:t>M&amp;A-</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6"/>
            <w:vMerge w:val="restart"/>
          </w:tcPr>
          <w:p>
            <w:pPr>
              <w:jc w:val="right"/>
              <w:spacing w:after="0"/>
              <w:rPr>
                <w:sz w:val="20"/>
                <w:szCs w:val="20"/>
                <w:color w:val="auto"/>
              </w:rPr>
            </w:pPr>
            <w:r>
              <w:rPr>
                <w:rFonts w:ascii="Arial" w:cs="Arial" w:eastAsia="Arial" w:hAnsi="Arial"/>
                <w:sz w:val="13"/>
                <w:szCs w:val="13"/>
                <w:b w:val="1"/>
                <w:bCs w:val="1"/>
                <w:color w:val="auto"/>
              </w:rPr>
              <w:t>Workforce</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5"/>
          </w:tcPr>
          <w:p>
            <w:pPr>
              <w:jc w:val="center"/>
              <w:spacing w:after="0" w:line="155" w:lineRule="exact"/>
              <w:rPr>
                <w:sz w:val="20"/>
                <w:szCs w:val="20"/>
                <w:color w:val="auto"/>
              </w:rPr>
            </w:pPr>
            <w:r>
              <w:rPr>
                <w:rFonts w:ascii="Arial" w:cs="Arial" w:eastAsia="Arial" w:hAnsi="Arial"/>
                <w:sz w:val="14"/>
                <w:szCs w:val="14"/>
                <w:b w:val="1"/>
                <w:bCs w:val="1"/>
                <w:color w:val="auto"/>
              </w:rPr>
              <w:t>Other non-</w:t>
            </w:r>
          </w:p>
        </w:tc>
        <w:tc>
          <w:tcPr>
            <w:tcW w:w="1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4"/>
            <w:vMerge w:val="restart"/>
          </w:tcPr>
          <w:p>
            <w:pPr>
              <w:jc w:val="center"/>
              <w:ind w:right="120"/>
              <w:spacing w:after="0"/>
              <w:rPr>
                <w:sz w:val="20"/>
                <w:szCs w:val="20"/>
                <w:color w:val="auto"/>
              </w:rPr>
            </w:pPr>
            <w:r>
              <w:rPr>
                <w:rFonts w:ascii="Arial" w:cs="Arial" w:eastAsia="Arial" w:hAnsi="Arial"/>
                <w:sz w:val="13"/>
                <w:szCs w:val="13"/>
                <w:b w:val="1"/>
                <w:bCs w:val="1"/>
                <w:color w:val="auto"/>
              </w:rPr>
              <w:t>Non-GAAP</w:t>
            </w:r>
          </w:p>
        </w:tc>
        <w:tc>
          <w:tcPr>
            <w:tcW w:w="0" w:type="dxa"/>
            <w:vAlign w:val="bottom"/>
          </w:tcPr>
          <w:p>
            <w:pPr>
              <w:spacing w:after="0"/>
              <w:rPr>
                <w:sz w:val="1"/>
                <w:szCs w:val="1"/>
                <w:color w:val="auto"/>
              </w:rPr>
            </w:pPr>
          </w:p>
        </w:tc>
      </w:tr>
      <w:tr>
        <w:trPr>
          <w:trHeight w:val="153"/>
        </w:trPr>
        <w:tc>
          <w:tcPr>
            <w:tcW w:w="2260" w:type="dxa"/>
            <w:vAlign w:val="bottom"/>
            <w:vMerge w:val="restart"/>
          </w:tcPr>
          <w:p>
            <w:pPr>
              <w:spacing w:after="0"/>
              <w:rPr>
                <w:sz w:val="20"/>
                <w:szCs w:val="20"/>
                <w:color w:val="auto"/>
              </w:rPr>
            </w:pPr>
            <w:r>
              <w:rPr>
                <w:rFonts w:ascii="Arial" w:cs="Arial" w:eastAsia="Arial" w:hAnsi="Arial"/>
                <w:sz w:val="13"/>
                <w:szCs w:val="13"/>
                <w:b w:val="1"/>
                <w:bCs w:val="1"/>
                <w:color w:val="auto"/>
              </w:rPr>
              <w:t>Nine months ended Sept. 30, 2025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4"/>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9"/>
            <w:vMerge w:val="continue"/>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5"/>
          </w:tcPr>
          <w:p>
            <w:pPr>
              <w:jc w:val="right"/>
              <w:ind w:right="288"/>
              <w:spacing w:after="0"/>
              <w:rPr>
                <w:sz w:val="20"/>
                <w:szCs w:val="20"/>
                <w:color w:val="auto"/>
              </w:rPr>
            </w:pPr>
            <w:r>
              <w:rPr>
                <w:rFonts w:ascii="Arial" w:cs="Arial" w:eastAsia="Arial" w:hAnsi="Arial"/>
                <w:sz w:val="13"/>
                <w:szCs w:val="13"/>
                <w:b w:val="1"/>
                <w:bCs w:val="1"/>
                <w:color w:val="auto"/>
              </w:rPr>
              <w:t>costs -</w:t>
            </w:r>
          </w:p>
        </w:tc>
        <w:tc>
          <w:tcPr>
            <w:tcW w:w="40" w:type="dxa"/>
            <w:vAlign w:val="bottom"/>
          </w:tcPr>
          <w:p>
            <w:pPr>
              <w:spacing w:after="0"/>
              <w:rPr>
                <w:sz w:val="13"/>
                <w:szCs w:val="13"/>
                <w:color w:val="auto"/>
              </w:rPr>
            </w:pPr>
          </w:p>
        </w:tc>
        <w:tc>
          <w:tcPr>
            <w:tcW w:w="880" w:type="dxa"/>
            <w:vAlign w:val="bottom"/>
            <w:gridSpan w:val="6"/>
          </w:tcPr>
          <w:p>
            <w:pPr>
              <w:jc w:val="right"/>
              <w:ind w:right="280"/>
              <w:spacing w:after="0" w:line="153" w:lineRule="exact"/>
              <w:rPr>
                <w:sz w:val="20"/>
                <w:szCs w:val="20"/>
                <w:color w:val="auto"/>
              </w:rPr>
            </w:pPr>
            <w:r>
              <w:rPr>
                <w:rFonts w:ascii="Arial" w:cs="Arial" w:eastAsia="Arial" w:hAnsi="Arial"/>
                <w:sz w:val="14"/>
                <w:szCs w:val="14"/>
                <w:b w:val="1"/>
                <w:bCs w:val="1"/>
                <w:color w:val="auto"/>
              </w:rPr>
              <w:t>related</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6"/>
            <w:vMerge w:val="continue"/>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7"/>
          </w:tcPr>
          <w:p>
            <w:pPr>
              <w:jc w:val="center"/>
              <w:ind w:right="160"/>
              <w:spacing w:after="0" w:line="153" w:lineRule="exact"/>
              <w:rPr>
                <w:sz w:val="20"/>
                <w:szCs w:val="20"/>
                <w:color w:val="auto"/>
              </w:rPr>
            </w:pPr>
            <w:r>
              <w:rPr>
                <w:rFonts w:ascii="Arial" w:cs="Arial" w:eastAsia="Arial" w:hAnsi="Arial"/>
                <w:sz w:val="14"/>
                <w:szCs w:val="14"/>
                <w:b w:val="1"/>
                <w:bCs w:val="1"/>
                <w:color w:val="auto"/>
              </w:rPr>
              <w:t>operating</w:t>
            </w:r>
          </w:p>
        </w:tc>
        <w:tc>
          <w:tcPr>
            <w:tcW w:w="100" w:type="dxa"/>
            <w:vAlign w:val="bottom"/>
          </w:tcPr>
          <w:p>
            <w:pPr>
              <w:spacing w:after="0"/>
              <w:rPr>
                <w:sz w:val="13"/>
                <w:szCs w:val="13"/>
                <w:color w:val="auto"/>
              </w:rPr>
            </w:pPr>
          </w:p>
        </w:tc>
        <w:tc>
          <w:tcPr>
            <w:tcW w:w="9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2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measure</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rPr>
              <w:t>adjustment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left="50"/>
              <w:spacing w:after="0"/>
              <w:rPr>
                <w:sz w:val="20"/>
                <w:szCs w:val="20"/>
                <w:color w:val="auto"/>
              </w:rPr>
            </w:pPr>
            <w:r>
              <w:rPr>
                <w:rFonts w:ascii="Arial" w:cs="Arial" w:eastAsia="Arial" w:hAnsi="Arial"/>
                <w:sz w:val="13"/>
                <w:szCs w:val="13"/>
                <w:b w:val="1"/>
                <w:bCs w:val="1"/>
                <w:color w:val="auto"/>
              </w:rPr>
              <w:t>- SBC</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5"/>
          </w:tcPr>
          <w:p>
            <w:pPr>
              <w:jc w:val="right"/>
              <w:ind w:right="328"/>
              <w:spacing w:after="0"/>
              <w:rPr>
                <w:sz w:val="20"/>
                <w:szCs w:val="20"/>
                <w:color w:val="auto"/>
              </w:rPr>
            </w:pPr>
            <w:r>
              <w:rPr>
                <w:rFonts w:ascii="Arial" w:cs="Arial" w:eastAsia="Arial" w:hAnsi="Arial"/>
                <w:sz w:val="13"/>
                <w:szCs w:val="13"/>
                <w:b w:val="1"/>
                <w:bCs w:val="1"/>
                <w:color w:val="auto"/>
              </w:rPr>
              <w:t>Cash</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8"/>
              </w:rPr>
              <w:t>costs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9"/>
          </w:tcPr>
          <w:p>
            <w:pPr>
              <w:jc w:val="right"/>
              <w:ind w:right="173"/>
              <w:spacing w:after="0"/>
              <w:rPr>
                <w:sz w:val="20"/>
                <w:szCs w:val="20"/>
                <w:color w:val="auto"/>
              </w:rPr>
            </w:pPr>
            <w:r>
              <w:rPr>
                <w:rFonts w:ascii="Arial" w:cs="Arial" w:eastAsia="Arial" w:hAnsi="Arial"/>
                <w:sz w:val="13"/>
                <w:szCs w:val="13"/>
                <w:b w:val="1"/>
                <w:bCs w:val="1"/>
                <w:color w:val="auto"/>
              </w:rPr>
              <w:t>restructuring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center"/>
              <w:ind w:left="29"/>
              <w:spacing w:after="0"/>
              <w:rPr>
                <w:sz w:val="20"/>
                <w:szCs w:val="20"/>
                <w:color w:val="auto"/>
              </w:rPr>
            </w:pPr>
            <w:r>
              <w:rPr>
                <w:rFonts w:ascii="Arial" w:cs="Arial" w:eastAsia="Arial" w:hAnsi="Arial"/>
                <w:sz w:val="14"/>
                <w:szCs w:val="14"/>
                <w:b w:val="1"/>
                <w:bCs w:val="1"/>
                <w:color w:val="auto"/>
              </w:rPr>
              <w:t>item</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rPr>
              <w:t>measure</w:t>
            </w:r>
          </w:p>
        </w:tc>
        <w:tc>
          <w:tcPr>
            <w:tcW w:w="0" w:type="dxa"/>
            <w:vAlign w:val="bottom"/>
          </w:tcPr>
          <w:p>
            <w:pPr>
              <w:spacing w:after="0"/>
              <w:rPr>
                <w:sz w:val="1"/>
                <w:szCs w:val="1"/>
                <w:color w:val="auto"/>
              </w:rPr>
            </w:pPr>
          </w:p>
        </w:tc>
      </w:tr>
      <w:tr>
        <w:trPr>
          <w:trHeight w:val="142"/>
        </w:trPr>
        <w:tc>
          <w:tcPr>
            <w:tcW w:w="22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top w:val="single" w:sz="8" w:color="auto"/>
            </w:tcBorders>
            <w:gridSpan w:val="2"/>
          </w:tcPr>
          <w:p>
            <w:pPr>
              <w:spacing w:after="0"/>
              <w:rPr>
                <w:sz w:val="12"/>
                <w:szCs w:val="12"/>
                <w:color w:val="auto"/>
              </w:rPr>
            </w:pPr>
          </w:p>
        </w:tc>
        <w:tc>
          <w:tcPr>
            <w:tcW w:w="240" w:type="dxa"/>
            <w:vAlign w:val="bottom"/>
            <w:gridSpan w:val="3"/>
          </w:tcPr>
          <w:p>
            <w:pPr>
              <w:spacing w:after="0"/>
              <w:rPr>
                <w:sz w:val="12"/>
                <w:szCs w:val="12"/>
                <w:color w:val="auto"/>
              </w:rPr>
            </w:pPr>
          </w:p>
        </w:tc>
        <w:tc>
          <w:tcPr>
            <w:tcW w:w="920" w:type="dxa"/>
            <w:vAlign w:val="bottom"/>
            <w:tcBorders>
              <w:top w:val="single" w:sz="8" w:color="auto"/>
            </w:tcBorders>
            <w:gridSpan w:val="4"/>
          </w:tcPr>
          <w:p>
            <w:pPr>
              <w:spacing w:after="0"/>
              <w:rPr>
                <w:sz w:val="12"/>
                <w:szCs w:val="12"/>
                <w:color w:val="auto"/>
              </w:rPr>
            </w:pPr>
          </w:p>
        </w:tc>
        <w:tc>
          <w:tcPr>
            <w:tcW w:w="240" w:type="dxa"/>
            <w:vAlign w:val="bottom"/>
            <w:gridSpan w:val="4"/>
          </w:tcPr>
          <w:p>
            <w:pPr>
              <w:spacing w:after="0"/>
              <w:rPr>
                <w:sz w:val="12"/>
                <w:szCs w:val="12"/>
                <w:color w:val="auto"/>
              </w:rPr>
            </w:pPr>
          </w:p>
        </w:tc>
        <w:tc>
          <w:tcPr>
            <w:tcW w:w="1040" w:type="dxa"/>
            <w:vAlign w:val="bottom"/>
            <w:tcBorders>
              <w:top w:val="single" w:sz="8" w:color="auto"/>
            </w:tcBorders>
            <w:gridSpan w:val="7"/>
          </w:tcPr>
          <w:p>
            <w:pPr>
              <w:spacing w:after="0"/>
              <w:rPr>
                <w:sz w:val="12"/>
                <w:szCs w:val="12"/>
                <w:color w:val="auto"/>
              </w:rPr>
            </w:pPr>
          </w:p>
        </w:tc>
        <w:tc>
          <w:tcPr>
            <w:tcW w:w="220" w:type="dxa"/>
            <w:vAlign w:val="bottom"/>
            <w:gridSpan w:val="3"/>
          </w:tcPr>
          <w:p>
            <w:pPr>
              <w:spacing w:after="0"/>
              <w:rPr>
                <w:sz w:val="12"/>
                <w:szCs w:val="12"/>
                <w:color w:val="auto"/>
              </w:rPr>
            </w:pPr>
          </w:p>
        </w:tc>
        <w:tc>
          <w:tcPr>
            <w:tcW w:w="780" w:type="dxa"/>
            <w:vAlign w:val="bottom"/>
            <w:tcBorders>
              <w:top w:val="single" w:sz="8" w:color="auto"/>
            </w:tcBorders>
            <w:gridSpan w:val="6"/>
          </w:tcPr>
          <w:p>
            <w:pPr>
              <w:spacing w:after="0"/>
              <w:rPr>
                <w:sz w:val="12"/>
                <w:szCs w:val="12"/>
                <w:color w:val="auto"/>
              </w:rPr>
            </w:pPr>
          </w:p>
        </w:tc>
        <w:tc>
          <w:tcPr>
            <w:tcW w:w="200" w:type="dxa"/>
            <w:vAlign w:val="bottom"/>
            <w:gridSpan w:val="2"/>
          </w:tcPr>
          <w:p>
            <w:pPr>
              <w:spacing w:after="0"/>
              <w:rPr>
                <w:sz w:val="12"/>
                <w:szCs w:val="12"/>
                <w:color w:val="auto"/>
              </w:rPr>
            </w:pPr>
          </w:p>
        </w:tc>
        <w:tc>
          <w:tcPr>
            <w:tcW w:w="780" w:type="dxa"/>
            <w:vAlign w:val="bottom"/>
            <w:tcBorders>
              <w:top w:val="single" w:sz="8" w:color="auto"/>
            </w:tcBorders>
            <w:gridSpan w:val="5"/>
          </w:tcPr>
          <w:p>
            <w:pPr>
              <w:spacing w:after="0"/>
              <w:rPr>
                <w:sz w:val="12"/>
                <w:szCs w:val="12"/>
                <w:color w:val="auto"/>
              </w:rPr>
            </w:pPr>
          </w:p>
        </w:tc>
        <w:tc>
          <w:tcPr>
            <w:tcW w:w="220" w:type="dxa"/>
            <w:vAlign w:val="bottom"/>
            <w:gridSpan w:val="3"/>
          </w:tcPr>
          <w:p>
            <w:pPr>
              <w:spacing w:after="0"/>
              <w:rPr>
                <w:sz w:val="12"/>
                <w:szCs w:val="12"/>
                <w:color w:val="auto"/>
              </w:rPr>
            </w:pPr>
          </w:p>
        </w:tc>
        <w:tc>
          <w:tcPr>
            <w:tcW w:w="1120" w:type="dxa"/>
            <w:vAlign w:val="bottom"/>
            <w:tcBorders>
              <w:top w:val="single" w:sz="8" w:color="auto"/>
            </w:tcBorders>
            <w:gridSpan w:val="8"/>
          </w:tcPr>
          <w:p>
            <w:pPr>
              <w:spacing w:after="0"/>
              <w:rPr>
                <w:sz w:val="12"/>
                <w:szCs w:val="12"/>
                <w:color w:val="auto"/>
              </w:rPr>
            </w:pPr>
          </w:p>
        </w:tc>
        <w:tc>
          <w:tcPr>
            <w:tcW w:w="200" w:type="dxa"/>
            <w:vAlign w:val="bottom"/>
            <w:gridSpan w:val="2"/>
          </w:tcPr>
          <w:p>
            <w:pPr>
              <w:spacing w:after="0"/>
              <w:rPr>
                <w:sz w:val="12"/>
                <w:szCs w:val="12"/>
                <w:color w:val="auto"/>
              </w:rPr>
            </w:pPr>
          </w:p>
        </w:tc>
        <w:tc>
          <w:tcPr>
            <w:tcW w:w="860" w:type="dxa"/>
            <w:vAlign w:val="bottom"/>
            <w:tcBorders>
              <w:top w:val="single" w:sz="8" w:color="auto"/>
            </w:tcBorders>
            <w:gridSpan w:val="5"/>
          </w:tcPr>
          <w:p>
            <w:pPr>
              <w:spacing w:after="0"/>
              <w:rPr>
                <w:sz w:val="12"/>
                <w:szCs w:val="12"/>
                <w:color w:val="auto"/>
              </w:rPr>
            </w:pPr>
          </w:p>
        </w:tc>
        <w:tc>
          <w:tcPr>
            <w:tcW w:w="220" w:type="dxa"/>
            <w:vAlign w:val="bottom"/>
            <w:gridSpan w:val="3"/>
          </w:tcPr>
          <w:p>
            <w:pPr>
              <w:spacing w:after="0"/>
              <w:rPr>
                <w:sz w:val="12"/>
                <w:szCs w:val="12"/>
                <w:color w:val="auto"/>
              </w:rPr>
            </w:pPr>
          </w:p>
        </w:tc>
        <w:tc>
          <w:tcPr>
            <w:tcW w:w="800" w:type="dxa"/>
            <w:vAlign w:val="bottom"/>
            <w:tcBorders>
              <w:top w:val="single" w:sz="8" w:color="auto"/>
            </w:tcBorders>
            <w:gridSpan w:val="3"/>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shd w:val="clear" w:color="auto" w:fill="CFF0FC"/>
          </w:tcPr>
          <w:p>
            <w:pPr>
              <w:spacing w:after="0"/>
              <w:rPr>
                <w:sz w:val="20"/>
                <w:szCs w:val="20"/>
                <w:color w:val="auto"/>
              </w:rPr>
            </w:pPr>
            <w:r>
              <w:rPr>
                <w:rFonts w:ascii="Arial" w:cs="Arial" w:eastAsia="Arial" w:hAnsi="Arial"/>
                <w:sz w:val="13"/>
                <w:szCs w:val="13"/>
                <w:color w:val="auto"/>
              </w:rPr>
              <w:t>Employee compensation</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517,909</w:t>
            </w:r>
          </w:p>
        </w:tc>
        <w:tc>
          <w:tcPr>
            <w:tcW w:w="60" w:type="dxa"/>
            <w:vAlign w:val="bottom"/>
            <w:shd w:val="clear" w:color="auto" w:fill="CFF0FC"/>
          </w:tcPr>
          <w:p>
            <w:pPr>
              <w:spacing w:after="0"/>
              <w:rPr>
                <w:sz w:val="12"/>
                <w:szCs w:val="12"/>
                <w:color w:val="auto"/>
              </w:rPr>
            </w:pPr>
          </w:p>
        </w:tc>
        <w:tc>
          <w:tcPr>
            <w:tcW w:w="260" w:type="dxa"/>
            <w:vAlign w:val="bottom"/>
            <w:gridSpan w:val="3"/>
            <w:shd w:val="clear" w:color="auto" w:fill="CFF0FC"/>
          </w:tcPr>
          <w:p>
            <w:pPr>
              <w:ind w:left="180"/>
              <w:spacing w:after="0"/>
              <w:rPr>
                <w:sz w:val="20"/>
                <w:szCs w:val="20"/>
                <w:color w:val="auto"/>
              </w:rPr>
            </w:pPr>
            <w:r>
              <w:rPr>
                <w:rFonts w:ascii="Arial" w:cs="Arial" w:eastAsia="Arial" w:hAnsi="Arial"/>
                <w:sz w:val="13"/>
                <w:szCs w:val="13"/>
                <w:color w:val="auto"/>
                <w:w w:val="82"/>
              </w:rPr>
              <w:t>$</w:t>
            </w:r>
          </w:p>
        </w:tc>
        <w:tc>
          <w:tcPr>
            <w:tcW w:w="920" w:type="dxa"/>
            <w:vAlign w:val="bottom"/>
            <w:gridSpan w:val="4"/>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gridSpan w:val="5"/>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920" w:type="dxa"/>
            <w:vAlign w:val="bottom"/>
            <w:gridSpan w:val="6"/>
            <w:shd w:val="clear" w:color="auto" w:fill="CFF0FC"/>
          </w:tcPr>
          <w:p>
            <w:pPr>
              <w:jc w:val="right"/>
              <w:spacing w:after="0"/>
              <w:rPr>
                <w:sz w:val="20"/>
                <w:szCs w:val="20"/>
                <w:color w:val="auto"/>
              </w:rPr>
            </w:pPr>
            <w:r>
              <w:rPr>
                <w:rFonts w:ascii="Arial" w:cs="Arial" w:eastAsia="Arial" w:hAnsi="Arial"/>
                <w:sz w:val="13"/>
                <w:szCs w:val="13"/>
                <w:color w:val="auto"/>
              </w:rPr>
              <w:t>(1,634)</w:t>
            </w:r>
          </w:p>
        </w:tc>
        <w:tc>
          <w:tcPr>
            <w:tcW w:w="80" w:type="dxa"/>
            <w:vAlign w:val="bottom"/>
            <w:shd w:val="clear" w:color="auto" w:fill="CFF0FC"/>
          </w:tcPr>
          <w:p>
            <w:pPr>
              <w:spacing w:after="0"/>
              <w:rPr>
                <w:sz w:val="12"/>
                <w:szCs w:val="12"/>
                <w:color w:val="auto"/>
              </w:rPr>
            </w:pPr>
          </w:p>
        </w:tc>
        <w:tc>
          <w:tcPr>
            <w:tcW w:w="420" w:type="dxa"/>
            <w:vAlign w:val="bottom"/>
            <w:gridSpan w:val="4"/>
            <w:shd w:val="clear" w:color="auto" w:fill="CFF0FC"/>
          </w:tcPr>
          <w:p>
            <w:pPr>
              <w:jc w:val="right"/>
              <w:ind w:right="17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580" w:type="dxa"/>
            <w:vAlign w:val="bottom"/>
            <w:gridSpan w:val="3"/>
            <w:shd w:val="clear" w:color="auto" w:fill="CFF0FC"/>
          </w:tcPr>
          <w:p>
            <w:pPr>
              <w:jc w:val="right"/>
              <w:ind w:right="48"/>
              <w:spacing w:after="0"/>
              <w:rPr>
                <w:sz w:val="20"/>
                <w:szCs w:val="20"/>
                <w:color w:val="auto"/>
              </w:rPr>
            </w:pPr>
            <w:r>
              <w:rPr>
                <w:rFonts w:ascii="Arial" w:cs="Arial" w:eastAsia="Arial" w:hAnsi="Arial"/>
                <w:sz w:val="13"/>
                <w:szCs w:val="13"/>
                <w:color w:val="auto"/>
              </w:rPr>
              <w:t>(1,886)</w:t>
            </w:r>
          </w:p>
        </w:tc>
        <w:tc>
          <w:tcPr>
            <w:tcW w:w="240" w:type="dxa"/>
            <w:vAlign w:val="bottom"/>
            <w:gridSpan w:val="2"/>
            <w:shd w:val="clear" w:color="auto" w:fill="CFF0FC"/>
          </w:tcPr>
          <w:p>
            <w:pPr>
              <w:jc w:val="right"/>
              <w:ind w:right="48"/>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253"/>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gridSpan w:val="6"/>
            <w:shd w:val="clear" w:color="auto" w:fill="CFF0FC"/>
          </w:tcPr>
          <w:p>
            <w:pPr>
              <w:jc w:val="right"/>
              <w:spacing w:after="0"/>
              <w:rPr>
                <w:sz w:val="20"/>
                <w:szCs w:val="20"/>
                <w:color w:val="auto"/>
              </w:rPr>
            </w:pPr>
            <w:r>
              <w:rPr>
                <w:rFonts w:ascii="Arial" w:cs="Arial" w:eastAsia="Arial" w:hAnsi="Arial"/>
                <w:sz w:val="13"/>
                <w:szCs w:val="13"/>
                <w:color w:val="auto"/>
              </w:rPr>
              <w:t>(3,932)</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40" w:type="dxa"/>
            <w:vAlign w:val="bottom"/>
            <w:gridSpan w:val="4"/>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510,457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1240" w:type="dxa"/>
            <w:vAlign w:val="bottom"/>
            <w:gridSpan w:val="63"/>
          </w:tcPr>
          <w:p>
            <w:pPr>
              <w:spacing w:after="0" w:line="136" w:lineRule="exact"/>
              <w:rPr>
                <w:sz w:val="20"/>
                <w:szCs w:val="20"/>
                <w:color w:val="auto"/>
              </w:rPr>
            </w:pPr>
            <w:r>
              <w:rPr>
                <w:rFonts w:ascii="Arial" w:cs="Arial" w:eastAsia="Arial" w:hAnsi="Arial"/>
                <w:sz w:val="13"/>
                <w:szCs w:val="13"/>
                <w:color w:val="auto"/>
              </w:rPr>
              <w:t>Corporate - General and</w:t>
            </w:r>
          </w:p>
        </w:tc>
        <w:tc>
          <w:tcPr>
            <w:tcW w:w="0" w:type="dxa"/>
            <w:vAlign w:val="bottom"/>
          </w:tcPr>
          <w:p>
            <w:pPr>
              <w:spacing w:after="0"/>
              <w:rPr>
                <w:sz w:val="1"/>
                <w:szCs w:val="1"/>
                <w:color w:val="auto"/>
              </w:rPr>
            </w:pPr>
          </w:p>
        </w:tc>
      </w:tr>
      <w:tr>
        <w:trPr>
          <w:trHeight w:val="161"/>
        </w:trPr>
        <w:tc>
          <w:tcPr>
            <w:tcW w:w="2260" w:type="dxa"/>
            <w:vAlign w:val="bottom"/>
          </w:tcPr>
          <w:p>
            <w:pPr>
              <w:spacing w:after="0"/>
              <w:rPr>
                <w:sz w:val="20"/>
                <w:szCs w:val="20"/>
                <w:color w:val="auto"/>
              </w:rPr>
            </w:pPr>
            <w:r>
              <w:rPr>
                <w:rFonts w:ascii="Arial" w:cs="Arial" w:eastAsia="Arial" w:hAnsi="Arial"/>
                <w:sz w:val="13"/>
                <w:szCs w:val="13"/>
                <w:color w:val="auto"/>
              </w:rPr>
              <w:t>administrative expenses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43,086</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4"/>
          </w:tcPr>
          <w:p>
            <w:pPr>
              <w:jc w:val="right"/>
              <w:ind w:right="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4"/>
          </w:tcPr>
          <w:p>
            <w:pPr>
              <w:jc w:val="right"/>
              <w:spacing w:after="0"/>
              <w:rPr>
                <w:sz w:val="20"/>
                <w:szCs w:val="20"/>
                <w:color w:val="auto"/>
              </w:rPr>
            </w:pPr>
            <w:r>
              <w:rPr>
                <w:rFonts w:ascii="Arial" w:cs="Arial" w:eastAsia="Arial" w:hAnsi="Arial"/>
                <w:sz w:val="13"/>
                <w:szCs w:val="13"/>
                <w:color w:val="auto"/>
              </w:rPr>
              <w:t>(457)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3"/>
          </w:tcPr>
          <w:p>
            <w:pPr>
              <w:jc w:val="right"/>
              <w:ind w:right="48"/>
              <w:spacing w:after="0"/>
              <w:rPr>
                <w:sz w:val="20"/>
                <w:szCs w:val="20"/>
                <w:color w:val="auto"/>
              </w:rPr>
            </w:pPr>
            <w:r>
              <w:rPr>
                <w:rFonts w:ascii="Arial" w:cs="Arial" w:eastAsia="Arial" w:hAnsi="Arial"/>
                <w:sz w:val="13"/>
                <w:szCs w:val="13"/>
                <w:color w:val="auto"/>
              </w:rPr>
              <w:t>(875)</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5"/>
          </w:tcPr>
          <w:p>
            <w:pPr>
              <w:jc w:val="right"/>
              <w:ind w:right="60"/>
              <w:spacing w:after="0"/>
              <w:rPr>
                <w:sz w:val="20"/>
                <w:szCs w:val="20"/>
                <w:color w:val="auto"/>
              </w:rPr>
            </w:pPr>
            <w:r>
              <w:rPr>
                <w:rFonts w:ascii="Arial" w:cs="Arial" w:eastAsia="Arial" w:hAnsi="Arial"/>
                <w:sz w:val="13"/>
                <w:szCs w:val="13"/>
                <w:color w:val="auto"/>
              </w:rPr>
              <w:t>(12,368)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gridSpan w:val="6"/>
          </w:tcPr>
          <w:p>
            <w:pPr>
              <w:jc w:val="right"/>
              <w:spacing w:after="0"/>
              <w:rPr>
                <w:sz w:val="20"/>
                <w:szCs w:val="20"/>
                <w:color w:val="auto"/>
              </w:rPr>
            </w:pPr>
            <w:r>
              <w:rPr>
                <w:rFonts w:ascii="Arial" w:cs="Arial" w:eastAsia="Arial" w:hAnsi="Arial"/>
                <w:sz w:val="13"/>
                <w:szCs w:val="13"/>
                <w:color w:val="auto"/>
              </w:rPr>
              <w:t>(192)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4"/>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29,194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60" w:type="dxa"/>
            <w:vAlign w:val="bottom"/>
            <w:shd w:val="clear" w:color="auto" w:fill="CFF0FC"/>
          </w:tcPr>
          <w:p>
            <w:pPr>
              <w:spacing w:after="0"/>
              <w:rPr>
                <w:sz w:val="20"/>
                <w:szCs w:val="20"/>
                <w:color w:val="auto"/>
              </w:rPr>
            </w:pPr>
            <w:r>
              <w:rPr>
                <w:rFonts w:ascii="Arial" w:cs="Arial" w:eastAsia="Arial" w:hAnsi="Arial"/>
                <w:sz w:val="13"/>
                <w:szCs w:val="13"/>
                <w:color w:val="auto"/>
              </w:rPr>
              <w:t>Operating expenses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1,682,328</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gridSpan w:val="4"/>
            <w:shd w:val="clear" w:color="auto" w:fill="CFF0FC"/>
          </w:tcPr>
          <w:p>
            <w:pPr>
              <w:jc w:val="right"/>
              <w:ind w:right="40"/>
              <w:spacing w:after="0"/>
              <w:rPr>
                <w:sz w:val="20"/>
                <w:szCs w:val="20"/>
                <w:color w:val="auto"/>
              </w:rPr>
            </w:pPr>
            <w:r>
              <w:rPr>
                <w:rFonts w:ascii="Arial" w:cs="Arial" w:eastAsia="Arial" w:hAnsi="Arial"/>
                <w:sz w:val="13"/>
                <w:szCs w:val="13"/>
                <w:color w:val="auto"/>
              </w:rPr>
              <w:t>(1,697)</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gridSpan w:val="6"/>
            <w:shd w:val="clear" w:color="auto" w:fill="CFF0FC"/>
          </w:tcPr>
          <w:p>
            <w:pPr>
              <w:jc w:val="right"/>
              <w:spacing w:after="0"/>
              <w:rPr>
                <w:sz w:val="20"/>
                <w:szCs w:val="20"/>
                <w:color w:val="auto"/>
              </w:rPr>
            </w:pPr>
            <w:r>
              <w:rPr>
                <w:rFonts w:ascii="Arial" w:cs="Arial" w:eastAsia="Arial" w:hAnsi="Arial"/>
                <w:sz w:val="13"/>
                <w:szCs w:val="13"/>
                <w:color w:val="auto"/>
              </w:rPr>
              <w:t>(1,634)</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80" w:type="dxa"/>
            <w:vAlign w:val="bottom"/>
            <w:gridSpan w:val="3"/>
            <w:shd w:val="clear" w:color="auto" w:fill="CFF0FC"/>
          </w:tcPr>
          <w:p>
            <w:pPr>
              <w:jc w:val="right"/>
              <w:ind w:right="48"/>
              <w:spacing w:after="0"/>
              <w:rPr>
                <w:sz w:val="20"/>
                <w:szCs w:val="20"/>
                <w:color w:val="auto"/>
              </w:rPr>
            </w:pPr>
            <w:r>
              <w:rPr>
                <w:rFonts w:ascii="Arial" w:cs="Arial" w:eastAsia="Arial" w:hAnsi="Arial"/>
                <w:sz w:val="13"/>
                <w:szCs w:val="13"/>
                <w:color w:val="auto"/>
              </w:rPr>
              <w:t>(1,886)</w:t>
            </w: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gridSpan w:val="5"/>
            <w:shd w:val="clear" w:color="auto" w:fill="CFF0FC"/>
          </w:tcPr>
          <w:p>
            <w:pPr>
              <w:jc w:val="right"/>
              <w:ind w:right="60"/>
              <w:spacing w:after="0"/>
              <w:rPr>
                <w:sz w:val="20"/>
                <w:szCs w:val="20"/>
                <w:color w:val="auto"/>
              </w:rPr>
            </w:pPr>
            <w:r>
              <w:rPr>
                <w:rFonts w:ascii="Arial" w:cs="Arial" w:eastAsia="Arial" w:hAnsi="Arial"/>
                <w:sz w:val="13"/>
                <w:szCs w:val="13"/>
                <w:color w:val="auto"/>
              </w:rPr>
              <w:t>(12,368)</w:t>
            </w: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gridSpan w:val="6"/>
            <w:shd w:val="clear" w:color="auto" w:fill="CFF0FC"/>
          </w:tcPr>
          <w:p>
            <w:pPr>
              <w:jc w:val="right"/>
              <w:spacing w:after="0"/>
              <w:rPr>
                <w:sz w:val="20"/>
                <w:szCs w:val="20"/>
                <w:color w:val="auto"/>
              </w:rPr>
            </w:pPr>
            <w:r>
              <w:rPr>
                <w:rFonts w:ascii="Arial" w:cs="Arial" w:eastAsia="Arial" w:hAnsi="Arial"/>
                <w:sz w:val="13"/>
                <w:szCs w:val="13"/>
                <w:color w:val="auto"/>
              </w:rPr>
              <w:t>(3,932)</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40" w:type="dxa"/>
            <w:vAlign w:val="bottom"/>
            <w:gridSpan w:val="4"/>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1,660,811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rPr>
                <w:sz w:val="20"/>
                <w:szCs w:val="20"/>
                <w:color w:val="auto"/>
              </w:rPr>
            </w:pPr>
            <w:r>
              <w:rPr>
                <w:rFonts w:ascii="Arial" w:cs="Arial" w:eastAsia="Arial" w:hAnsi="Arial"/>
                <w:sz w:val="13"/>
                <w:szCs w:val="13"/>
                <w:color w:val="auto"/>
              </w:rPr>
              <w:t>Operating income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323,557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right"/>
              <w:spacing w:after="0"/>
              <w:rPr>
                <w:sz w:val="20"/>
                <w:szCs w:val="20"/>
                <w:color w:val="auto"/>
              </w:rPr>
            </w:pPr>
            <w:r>
              <w:rPr>
                <w:rFonts w:ascii="Arial" w:cs="Arial" w:eastAsia="Arial" w:hAnsi="Arial"/>
                <w:sz w:val="13"/>
                <w:szCs w:val="13"/>
                <w:color w:val="auto"/>
              </w:rPr>
              <w:t>1,697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5"/>
          </w:tcPr>
          <w:p>
            <w:pPr>
              <w:jc w:val="right"/>
              <w:spacing w:after="0"/>
              <w:rPr>
                <w:sz w:val="20"/>
                <w:szCs w:val="20"/>
                <w:color w:val="auto"/>
              </w:rPr>
            </w:pPr>
            <w:r>
              <w:rPr>
                <w:rFonts w:ascii="Arial" w:cs="Arial" w:eastAsia="Arial" w:hAnsi="Arial"/>
                <w:sz w:val="13"/>
                <w:szCs w:val="13"/>
                <w:color w:val="auto"/>
              </w:rPr>
              <w:t>1,634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1,886</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3"/>
                <w:szCs w:val="13"/>
                <w:color w:val="auto"/>
              </w:rPr>
              <w:t>12,368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5"/>
          </w:tcPr>
          <w:p>
            <w:pPr>
              <w:jc w:val="right"/>
              <w:ind w:right="20"/>
              <w:spacing w:after="0"/>
              <w:rPr>
                <w:sz w:val="20"/>
                <w:szCs w:val="20"/>
                <w:color w:val="auto"/>
              </w:rPr>
            </w:pPr>
            <w:r>
              <w:rPr>
                <w:rFonts w:ascii="Arial" w:cs="Arial" w:eastAsia="Arial" w:hAnsi="Arial"/>
                <w:sz w:val="13"/>
                <w:szCs w:val="13"/>
                <w:color w:val="auto"/>
              </w:rPr>
              <w:t>3,932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gridSpan w:val="4"/>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345,074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shd w:val="clear" w:color="auto" w:fill="CFF0FC"/>
          </w:tcPr>
          <w:p>
            <w:pPr>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215,558</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1,697</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1,634</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1,886</w:t>
            </w:r>
          </w:p>
        </w:tc>
        <w:tc>
          <w:tcPr>
            <w:tcW w:w="1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gridSpan w:val="4"/>
            <w:shd w:val="clear" w:color="auto" w:fill="CFF0FC"/>
          </w:tcPr>
          <w:p>
            <w:pPr>
              <w:jc w:val="right"/>
              <w:ind w:right="20"/>
              <w:spacing w:after="0"/>
              <w:rPr>
                <w:sz w:val="20"/>
                <w:szCs w:val="20"/>
                <w:color w:val="auto"/>
              </w:rPr>
            </w:pPr>
            <w:r>
              <w:rPr>
                <w:rFonts w:ascii="Arial" w:cs="Arial" w:eastAsia="Arial" w:hAnsi="Arial"/>
                <w:sz w:val="13"/>
                <w:szCs w:val="13"/>
                <w:color w:val="auto"/>
              </w:rPr>
              <w:t>12,368</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40" w:type="dxa"/>
            <w:vAlign w:val="bottom"/>
            <w:gridSpan w:val="5"/>
            <w:shd w:val="clear" w:color="auto" w:fill="CFF0FC"/>
          </w:tcPr>
          <w:p>
            <w:pPr>
              <w:jc w:val="right"/>
              <w:ind w:right="20"/>
              <w:spacing w:after="0"/>
              <w:rPr>
                <w:sz w:val="20"/>
                <w:szCs w:val="20"/>
                <w:color w:val="auto"/>
              </w:rPr>
            </w:pPr>
            <w:r>
              <w:rPr>
                <w:rFonts w:ascii="Arial" w:cs="Arial" w:eastAsia="Arial" w:hAnsi="Arial"/>
                <w:sz w:val="13"/>
                <w:szCs w:val="13"/>
                <w:color w:val="auto"/>
              </w:rPr>
              <w:t>3,932</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gridSpan w:val="4"/>
            <w:shd w:val="clear" w:color="auto" w:fill="CFF0FC"/>
          </w:tcPr>
          <w:p>
            <w:pPr>
              <w:jc w:val="right"/>
              <w:ind w:right="20"/>
              <w:spacing w:after="0"/>
              <w:rPr>
                <w:sz w:val="20"/>
                <w:szCs w:val="20"/>
                <w:color w:val="auto"/>
              </w:rPr>
            </w:pPr>
            <w:r>
              <w:rPr>
                <w:rFonts w:ascii="Arial" w:cs="Arial" w:eastAsia="Arial" w:hAnsi="Arial"/>
                <w:sz w:val="13"/>
                <w:szCs w:val="13"/>
                <w:color w:val="auto"/>
              </w:rPr>
              <w:t>2,094</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239,169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20"/>
                <w:szCs w:val="20"/>
                <w:color w:val="auto"/>
              </w:rPr>
            </w:pPr>
            <w:r>
              <w:rPr>
                <w:rFonts w:ascii="Arial" w:cs="Arial" w:eastAsia="Arial" w:hAnsi="Arial"/>
                <w:sz w:val="13"/>
                <w:szCs w:val="13"/>
                <w:color w:val="auto"/>
              </w:rPr>
              <w:t>Provision for income taxes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52,233</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right"/>
              <w:spacing w:after="0"/>
              <w:rPr>
                <w:sz w:val="20"/>
                <w:szCs w:val="20"/>
                <w:color w:val="auto"/>
              </w:rPr>
            </w:pPr>
            <w:r>
              <w:rPr>
                <w:rFonts w:ascii="Arial" w:cs="Arial" w:eastAsia="Arial" w:hAnsi="Arial"/>
                <w:sz w:val="13"/>
                <w:szCs w:val="13"/>
                <w:color w:val="auto"/>
              </w:rPr>
              <w:t>435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gridSpan w:val="3"/>
          </w:tcPr>
          <w:p>
            <w:pPr>
              <w:jc w:val="right"/>
              <w:spacing w:after="0"/>
              <w:rPr>
                <w:sz w:val="20"/>
                <w:szCs w:val="20"/>
                <w:color w:val="auto"/>
              </w:rPr>
            </w:pPr>
            <w:r>
              <w:rPr>
                <w:rFonts w:ascii="Arial" w:cs="Arial" w:eastAsia="Arial" w:hAnsi="Arial"/>
                <w:sz w:val="13"/>
                <w:szCs w:val="13"/>
                <w:color w:val="auto"/>
              </w:rPr>
              <w:t>300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222</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3"/>
                <w:szCs w:val="13"/>
                <w:color w:val="auto"/>
              </w:rPr>
              <w:t>318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988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gridSpan w:val="4"/>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54,496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1240" w:type="dxa"/>
            <w:vAlign w:val="bottom"/>
            <w:gridSpan w:val="63"/>
            <w:shd w:val="clear" w:color="auto" w:fill="CFF0FC"/>
          </w:tcPr>
          <w:p>
            <w:pPr>
              <w:spacing w:after="0" w:line="136" w:lineRule="exact"/>
              <w:rPr>
                <w:sz w:val="20"/>
                <w:szCs w:val="20"/>
                <w:color w:val="auto"/>
              </w:rPr>
            </w:pPr>
            <w:r>
              <w:rPr>
                <w:rFonts w:ascii="Arial" w:cs="Arial" w:eastAsia="Arial" w:hAnsi="Arial"/>
                <w:sz w:val="13"/>
                <w:szCs w:val="13"/>
                <w:color w:val="auto"/>
              </w:rPr>
              <w:t>Net income attributable to TEGNA</w:t>
            </w:r>
          </w:p>
        </w:tc>
        <w:tc>
          <w:tcPr>
            <w:tcW w:w="0" w:type="dxa"/>
            <w:vAlign w:val="bottom"/>
          </w:tcPr>
          <w:p>
            <w:pPr>
              <w:spacing w:after="0"/>
              <w:rPr>
                <w:sz w:val="1"/>
                <w:szCs w:val="1"/>
                <w:color w:val="auto"/>
              </w:rPr>
            </w:pPr>
          </w:p>
        </w:tc>
      </w:tr>
      <w:tr>
        <w:trPr>
          <w:trHeight w:val="161"/>
        </w:trPr>
        <w:tc>
          <w:tcPr>
            <w:tcW w:w="2260" w:type="dxa"/>
            <w:vAlign w:val="bottom"/>
            <w:shd w:val="clear" w:color="auto" w:fill="CFF0FC"/>
          </w:tcPr>
          <w:p>
            <w:pPr>
              <w:spacing w:after="0"/>
              <w:rPr>
                <w:sz w:val="20"/>
                <w:szCs w:val="20"/>
                <w:color w:val="auto"/>
              </w:rPr>
            </w:pPr>
            <w:r>
              <w:rPr>
                <w:rFonts w:ascii="Arial" w:cs="Arial" w:eastAsia="Arial" w:hAnsi="Arial"/>
                <w:sz w:val="13"/>
                <w:szCs w:val="13"/>
                <w:color w:val="auto"/>
              </w:rPr>
              <w:t>Inc.</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163,709</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1,262</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1,334</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1,664</w:t>
            </w:r>
          </w:p>
        </w:tc>
        <w:tc>
          <w:tcPr>
            <w:tcW w:w="1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gridSpan w:val="4"/>
            <w:shd w:val="clear" w:color="auto" w:fill="CFF0FC"/>
          </w:tcPr>
          <w:p>
            <w:pPr>
              <w:jc w:val="right"/>
              <w:ind w:right="20"/>
              <w:spacing w:after="0"/>
              <w:rPr>
                <w:sz w:val="20"/>
                <w:szCs w:val="20"/>
                <w:color w:val="auto"/>
              </w:rPr>
            </w:pPr>
            <w:r>
              <w:rPr>
                <w:rFonts w:ascii="Arial" w:cs="Arial" w:eastAsia="Arial" w:hAnsi="Arial"/>
                <w:sz w:val="13"/>
                <w:szCs w:val="13"/>
                <w:color w:val="auto"/>
              </w:rPr>
              <w:t>12,050</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40" w:type="dxa"/>
            <w:vAlign w:val="bottom"/>
            <w:gridSpan w:val="5"/>
            <w:shd w:val="clear" w:color="auto" w:fill="CFF0FC"/>
          </w:tcPr>
          <w:p>
            <w:pPr>
              <w:jc w:val="right"/>
              <w:ind w:right="20"/>
              <w:spacing w:after="0"/>
              <w:rPr>
                <w:sz w:val="20"/>
                <w:szCs w:val="20"/>
                <w:color w:val="auto"/>
              </w:rPr>
            </w:pPr>
            <w:r>
              <w:rPr>
                <w:rFonts w:ascii="Arial" w:cs="Arial" w:eastAsia="Arial" w:hAnsi="Arial"/>
                <w:sz w:val="13"/>
                <w:szCs w:val="13"/>
                <w:color w:val="auto"/>
              </w:rPr>
              <w:t>2,944</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4"/>
            <w:shd w:val="clear" w:color="auto" w:fill="CFF0FC"/>
          </w:tcPr>
          <w:p>
            <w:pPr>
              <w:jc w:val="right"/>
              <w:ind w:right="20"/>
              <w:spacing w:after="0"/>
              <w:rPr>
                <w:sz w:val="20"/>
                <w:szCs w:val="20"/>
                <w:color w:val="auto"/>
              </w:rPr>
            </w:pPr>
            <w:r>
              <w:rPr>
                <w:rFonts w:ascii="Arial" w:cs="Arial" w:eastAsia="Arial" w:hAnsi="Arial"/>
                <w:sz w:val="13"/>
                <w:szCs w:val="13"/>
                <w:color w:val="auto"/>
              </w:rPr>
              <w:t>2,094</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185,057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60" w:type="dxa"/>
            <w:vAlign w:val="bottom"/>
          </w:tcPr>
          <w:p>
            <w:pPr>
              <w:spacing w:after="0"/>
              <w:rPr>
                <w:sz w:val="20"/>
                <w:szCs w:val="20"/>
                <w:color w:val="auto"/>
              </w:rPr>
            </w:pPr>
            <w:r>
              <w:rPr>
                <w:rFonts w:ascii="Arial" w:cs="Arial" w:eastAsia="Arial" w:hAnsi="Arial"/>
                <w:sz w:val="13"/>
                <w:szCs w:val="13"/>
                <w:color w:val="auto"/>
              </w:rPr>
              <w:t>Earnings per share - diluted</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1.00</w:t>
            </w:r>
          </w:p>
        </w:tc>
        <w:tc>
          <w:tcPr>
            <w:tcW w:w="60" w:type="dxa"/>
            <w:vAlign w:val="bottom"/>
          </w:tcPr>
          <w:p>
            <w:pPr>
              <w:spacing w:after="0"/>
              <w:rPr>
                <w:sz w:val="15"/>
                <w:szCs w:val="15"/>
                <w:color w:val="auto"/>
              </w:rPr>
            </w:pPr>
          </w:p>
        </w:tc>
        <w:tc>
          <w:tcPr>
            <w:tcW w:w="260" w:type="dxa"/>
            <w:vAlign w:val="bottom"/>
            <w:gridSpan w:val="3"/>
          </w:tcPr>
          <w:p>
            <w:pPr>
              <w:ind w:left="180"/>
              <w:spacing w:after="0"/>
              <w:rPr>
                <w:sz w:val="20"/>
                <w:szCs w:val="20"/>
                <w:color w:val="auto"/>
              </w:rPr>
            </w:pPr>
            <w:r>
              <w:rPr>
                <w:rFonts w:ascii="Arial" w:cs="Arial" w:eastAsia="Arial" w:hAnsi="Arial"/>
                <w:sz w:val="13"/>
                <w:szCs w:val="13"/>
                <w:color w:val="auto"/>
                <w:w w:val="82"/>
              </w:rPr>
              <w:t>$</w:t>
            </w:r>
          </w:p>
        </w:tc>
        <w:tc>
          <w:tcPr>
            <w:tcW w:w="840" w:type="dxa"/>
            <w:vAlign w:val="bottom"/>
            <w:gridSpan w:val="3"/>
          </w:tcPr>
          <w:p>
            <w:pPr>
              <w:jc w:val="right"/>
              <w:spacing w:after="0"/>
              <w:rPr>
                <w:sz w:val="20"/>
                <w:szCs w:val="20"/>
                <w:color w:val="auto"/>
              </w:rPr>
            </w:pPr>
            <w:r>
              <w:rPr>
                <w:rFonts w:ascii="Arial" w:cs="Arial" w:eastAsia="Arial" w:hAnsi="Arial"/>
                <w:sz w:val="13"/>
                <w:szCs w:val="13"/>
                <w:color w:val="auto"/>
              </w:rPr>
              <w:t>0.01</w:t>
            </w:r>
          </w:p>
        </w:tc>
        <w:tc>
          <w:tcPr>
            <w:tcW w:w="80" w:type="dxa"/>
            <w:vAlign w:val="bottom"/>
          </w:tcPr>
          <w:p>
            <w:pPr>
              <w:spacing w:after="0"/>
              <w:rPr>
                <w:sz w:val="15"/>
                <w:szCs w:val="15"/>
                <w:color w:val="auto"/>
              </w:rPr>
            </w:pPr>
          </w:p>
        </w:tc>
        <w:tc>
          <w:tcPr>
            <w:tcW w:w="320" w:type="dxa"/>
            <w:vAlign w:val="bottom"/>
            <w:gridSpan w:val="5"/>
          </w:tcPr>
          <w:p>
            <w:pPr>
              <w:jc w:val="right"/>
              <w:ind w:right="13"/>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gridSpan w:val="3"/>
          </w:tcPr>
          <w:p>
            <w:pPr>
              <w:jc w:val="right"/>
              <w:spacing w:after="0"/>
              <w:rPr>
                <w:sz w:val="20"/>
                <w:szCs w:val="20"/>
                <w:color w:val="auto"/>
              </w:rPr>
            </w:pPr>
            <w:r>
              <w:rPr>
                <w:rFonts w:ascii="Arial" w:cs="Arial" w:eastAsia="Arial" w:hAnsi="Arial"/>
                <w:sz w:val="13"/>
                <w:szCs w:val="13"/>
                <w:color w:val="auto"/>
              </w:rPr>
              <w:t>0.01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4"/>
          </w:tcPr>
          <w:p>
            <w:pPr>
              <w:jc w:val="right"/>
              <w:ind w:right="17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0.01</w:t>
            </w:r>
          </w:p>
        </w:tc>
        <w:tc>
          <w:tcPr>
            <w:tcW w:w="160" w:type="dxa"/>
            <w:vAlign w:val="bottom"/>
          </w:tcPr>
          <w:p>
            <w:pPr>
              <w:spacing w:after="0"/>
              <w:rPr>
                <w:sz w:val="15"/>
                <w:szCs w:val="15"/>
                <w:color w:val="auto"/>
              </w:rPr>
            </w:pPr>
          </w:p>
        </w:tc>
        <w:tc>
          <w:tcPr>
            <w:tcW w:w="240" w:type="dxa"/>
            <w:vAlign w:val="bottom"/>
            <w:gridSpan w:val="2"/>
          </w:tcPr>
          <w:p>
            <w:pPr>
              <w:jc w:val="right"/>
              <w:ind w:right="48"/>
              <w:spacing w:after="0"/>
              <w:rPr>
                <w:sz w:val="20"/>
                <w:szCs w:val="20"/>
                <w:color w:val="auto"/>
              </w:rPr>
            </w:pPr>
            <w:r>
              <w:rPr>
                <w:rFonts w:ascii="Arial" w:cs="Arial" w:eastAsia="Arial" w:hAnsi="Arial"/>
                <w:sz w:val="13"/>
                <w:szCs w:val="13"/>
                <w:color w:val="auto"/>
              </w:rPr>
              <w:t>$</w:t>
            </w:r>
          </w:p>
        </w:tc>
        <w:tc>
          <w:tcPr>
            <w:tcW w:w="580" w:type="dxa"/>
            <w:vAlign w:val="bottom"/>
            <w:gridSpan w:val="4"/>
          </w:tcPr>
          <w:p>
            <w:pPr>
              <w:jc w:val="right"/>
              <w:ind w:right="20"/>
              <w:spacing w:after="0"/>
              <w:rPr>
                <w:sz w:val="20"/>
                <w:szCs w:val="20"/>
                <w:color w:val="auto"/>
              </w:rPr>
            </w:pPr>
            <w:r>
              <w:rPr>
                <w:rFonts w:ascii="Arial" w:cs="Arial" w:eastAsia="Arial" w:hAnsi="Arial"/>
                <w:sz w:val="13"/>
                <w:szCs w:val="13"/>
                <w:color w:val="auto"/>
              </w:rPr>
              <w:t>0.07</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gridSpan w:val="2"/>
          </w:tcPr>
          <w:p>
            <w:pPr>
              <w:jc w:val="right"/>
              <w:ind w:right="25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gridSpan w:val="5"/>
          </w:tcPr>
          <w:p>
            <w:pPr>
              <w:jc w:val="right"/>
              <w:ind w:right="20"/>
              <w:spacing w:after="0"/>
              <w:rPr>
                <w:sz w:val="20"/>
                <w:szCs w:val="20"/>
                <w:color w:val="auto"/>
              </w:rPr>
            </w:pPr>
            <w:r>
              <w:rPr>
                <w:rFonts w:ascii="Arial" w:cs="Arial" w:eastAsia="Arial" w:hAnsi="Arial"/>
                <w:sz w:val="13"/>
                <w:szCs w:val="13"/>
                <w:color w:val="auto"/>
              </w:rPr>
              <w:t>0.02</w:t>
            </w:r>
          </w:p>
        </w:tc>
        <w:tc>
          <w:tcPr>
            <w:tcW w:w="8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4"/>
          </w:tcPr>
          <w:p>
            <w:pPr>
              <w:jc w:val="right"/>
              <w:ind w:right="20"/>
              <w:spacing w:after="0"/>
              <w:rPr>
                <w:sz w:val="20"/>
                <w:szCs w:val="20"/>
                <w:color w:val="auto"/>
              </w:rPr>
            </w:pPr>
            <w:r>
              <w:rPr>
                <w:rFonts w:ascii="Arial" w:cs="Arial" w:eastAsia="Arial" w:hAnsi="Arial"/>
                <w:sz w:val="13"/>
                <w:szCs w:val="13"/>
                <w:color w:val="auto"/>
              </w:rPr>
              <w:t>0.01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1.13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10"/>
          </w:tcPr>
          <w:p>
            <w:pPr>
              <w:jc w:val="right"/>
              <w:ind w:right="600"/>
              <w:spacing w:after="0"/>
              <w:rPr>
                <w:sz w:val="20"/>
                <w:szCs w:val="20"/>
                <w:color w:val="auto"/>
              </w:rPr>
            </w:pPr>
            <w:r>
              <w:rPr>
                <w:rFonts w:ascii="Arial" w:cs="Arial" w:eastAsia="Arial" w:hAnsi="Arial"/>
                <w:sz w:val="13"/>
                <w:szCs w:val="13"/>
                <w:b w:val="1"/>
                <w:bCs w:val="1"/>
                <w:color w:val="auto"/>
              </w:rPr>
              <w:t>Special Items</w:t>
            </w: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7"/>
        </w:trPr>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GAAP</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gridSpan w:val="5"/>
            <w:vMerge w:val="restart"/>
          </w:tcPr>
          <w:p>
            <w:pPr>
              <w:ind w:left="60"/>
              <w:spacing w:after="0"/>
              <w:rPr>
                <w:sz w:val="20"/>
                <w:szCs w:val="20"/>
                <w:color w:val="auto"/>
              </w:rPr>
            </w:pPr>
            <w:r>
              <w:rPr>
                <w:rFonts w:ascii="Arial" w:cs="Arial" w:eastAsia="Arial" w:hAnsi="Arial"/>
                <w:sz w:val="13"/>
                <w:szCs w:val="13"/>
                <w:b w:val="1"/>
                <w:bCs w:val="1"/>
                <w:color w:val="auto"/>
              </w:rPr>
              <w:t>Retention</w:t>
            </w:r>
          </w:p>
        </w:tc>
        <w:tc>
          <w:tcPr>
            <w:tcW w:w="40" w:type="dxa"/>
            <w:vAlign w:val="bottom"/>
          </w:tcPr>
          <w:p>
            <w:pPr>
              <w:spacing w:after="0"/>
              <w:rPr>
                <w:sz w:val="11"/>
                <w:szCs w:val="11"/>
                <w:color w:val="auto"/>
              </w:rPr>
            </w:pPr>
          </w:p>
        </w:tc>
        <w:tc>
          <w:tcPr>
            <w:tcW w:w="860" w:type="dxa"/>
            <w:vAlign w:val="bottom"/>
            <w:gridSpan w:val="6"/>
          </w:tcPr>
          <w:p>
            <w:pPr>
              <w:ind w:left="60"/>
              <w:spacing w:after="0" w:line="128" w:lineRule="exact"/>
              <w:rPr>
                <w:sz w:val="20"/>
                <w:szCs w:val="20"/>
                <w:color w:val="auto"/>
              </w:rPr>
            </w:pPr>
            <w:r>
              <w:rPr>
                <w:rFonts w:ascii="Arial" w:cs="Arial" w:eastAsia="Arial" w:hAnsi="Arial"/>
                <w:sz w:val="13"/>
                <w:szCs w:val="13"/>
                <w:b w:val="1"/>
                <w:bCs w:val="1"/>
                <w:color w:val="auto"/>
              </w:rPr>
              <w:t>Retention</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7"/>
          </w:tcPr>
          <w:p>
            <w:pPr>
              <w:jc w:val="right"/>
              <w:ind w:right="200"/>
              <w:spacing w:after="0" w:line="128" w:lineRule="exact"/>
              <w:rPr>
                <w:sz w:val="20"/>
                <w:szCs w:val="20"/>
                <w:color w:val="auto"/>
              </w:rPr>
            </w:pPr>
            <w:r>
              <w:rPr>
                <w:rFonts w:ascii="Arial" w:cs="Arial" w:eastAsia="Arial" w:hAnsi="Arial"/>
                <w:sz w:val="13"/>
                <w:szCs w:val="13"/>
                <w:b w:val="1"/>
                <w:bCs w:val="1"/>
                <w:color w:val="auto"/>
              </w:rPr>
              <w:t>M&amp;A-</w:t>
            </w:r>
          </w:p>
        </w:tc>
        <w:tc>
          <w:tcPr>
            <w:tcW w:w="160" w:type="dxa"/>
            <w:vAlign w:val="bottom"/>
          </w:tcPr>
          <w:p>
            <w:pPr>
              <w:spacing w:after="0"/>
              <w:rPr>
                <w:sz w:val="11"/>
                <w:szCs w:val="11"/>
                <w:color w:val="auto"/>
              </w:rPr>
            </w:pPr>
          </w:p>
        </w:tc>
        <w:tc>
          <w:tcPr>
            <w:tcW w:w="1340" w:type="dxa"/>
            <w:vAlign w:val="bottom"/>
            <w:gridSpan w:val="9"/>
            <w:vMerge w:val="restart"/>
          </w:tcPr>
          <w:p>
            <w:pPr>
              <w:jc w:val="right"/>
              <w:ind w:right="460"/>
              <w:spacing w:after="0"/>
              <w:rPr>
                <w:sz w:val="20"/>
                <w:szCs w:val="20"/>
                <w:color w:val="auto"/>
              </w:rPr>
            </w:pPr>
            <w:r>
              <w:rPr>
                <w:rFonts w:ascii="Arial" w:cs="Arial" w:eastAsia="Arial" w:hAnsi="Arial"/>
                <w:sz w:val="13"/>
                <w:szCs w:val="13"/>
                <w:b w:val="1"/>
                <w:bCs w:val="1"/>
                <w:color w:val="auto"/>
              </w:rPr>
              <w:t>Workforce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tcPr>
          <w:p>
            <w:pPr>
              <w:jc w:val="center"/>
              <w:spacing w:after="0" w:line="128" w:lineRule="exact"/>
              <w:rPr>
                <w:sz w:val="20"/>
                <w:szCs w:val="20"/>
                <w:color w:val="auto"/>
              </w:rPr>
            </w:pPr>
            <w:r>
              <w:rPr>
                <w:rFonts w:ascii="Arial" w:cs="Arial" w:eastAsia="Arial" w:hAnsi="Arial"/>
                <w:sz w:val="13"/>
                <w:szCs w:val="13"/>
                <w:b w:val="1"/>
                <w:bCs w:val="1"/>
                <w:color w:val="auto"/>
              </w:rPr>
              <w:t>Asset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rPr>
              <w:t>Other non-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5"/>
            <w:vMerge w:val="restart"/>
          </w:tcPr>
          <w:p>
            <w:pPr>
              <w:ind w:left="100"/>
              <w:spacing w:after="0"/>
              <w:rPr>
                <w:sz w:val="20"/>
                <w:szCs w:val="20"/>
                <w:color w:val="auto"/>
              </w:rPr>
            </w:pPr>
            <w:r>
              <w:rPr>
                <w:rFonts w:ascii="Arial" w:cs="Arial" w:eastAsia="Arial" w:hAnsi="Arial"/>
                <w:sz w:val="13"/>
                <w:szCs w:val="13"/>
                <w:b w:val="1"/>
                <w:bCs w:val="1"/>
                <w:color w:val="auto"/>
              </w:rPr>
              <w:t>Non-GAAP</w:t>
            </w:r>
          </w:p>
        </w:tc>
        <w:tc>
          <w:tcPr>
            <w:tcW w:w="0" w:type="dxa"/>
            <w:vAlign w:val="bottom"/>
          </w:tcPr>
          <w:p>
            <w:pPr>
              <w:spacing w:after="0"/>
              <w:rPr>
                <w:sz w:val="1"/>
                <w:szCs w:val="1"/>
                <w:color w:val="auto"/>
              </w:rPr>
            </w:pPr>
          </w:p>
        </w:tc>
      </w:tr>
      <w:tr>
        <w:trPr>
          <w:trHeight w:val="148"/>
        </w:trPr>
        <w:tc>
          <w:tcPr>
            <w:tcW w:w="2260" w:type="dxa"/>
            <w:vAlign w:val="bottom"/>
            <w:vMerge w:val="restart"/>
          </w:tcPr>
          <w:p>
            <w:pPr>
              <w:spacing w:after="0"/>
              <w:rPr>
                <w:sz w:val="20"/>
                <w:szCs w:val="20"/>
                <w:color w:val="auto"/>
              </w:rPr>
            </w:pPr>
            <w:r>
              <w:rPr>
                <w:rFonts w:ascii="Arial" w:cs="Arial" w:eastAsia="Arial" w:hAnsi="Arial"/>
                <w:sz w:val="13"/>
                <w:szCs w:val="13"/>
                <w:b w:val="1"/>
                <w:bCs w:val="1"/>
                <w:color w:val="auto"/>
              </w:rPr>
              <w:t>Nine months ended Sept. 30, 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4"/>
          </w:tcPr>
          <w:p>
            <w:pPr>
              <w:ind w:left="40"/>
              <w:spacing w:after="0"/>
              <w:rPr>
                <w:sz w:val="20"/>
                <w:szCs w:val="20"/>
                <w:color w:val="auto"/>
              </w:rPr>
            </w:pPr>
            <w:r>
              <w:rPr>
                <w:rFonts w:ascii="Arial" w:cs="Arial" w:eastAsia="Arial" w:hAnsi="Arial"/>
                <w:sz w:val="13"/>
                <w:szCs w:val="13"/>
                <w:b w:val="1"/>
                <w:bCs w:val="1"/>
                <w:color w:val="auto"/>
              </w:rPr>
              <w:t>costs -</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8"/>
          </w:tcPr>
          <w:p>
            <w:pPr>
              <w:jc w:val="right"/>
              <w:ind w:right="180"/>
              <w:spacing w:after="0"/>
              <w:rPr>
                <w:sz w:val="20"/>
                <w:szCs w:val="20"/>
                <w:color w:val="auto"/>
              </w:rPr>
            </w:pPr>
            <w:r>
              <w:rPr>
                <w:rFonts w:ascii="Arial" w:cs="Arial" w:eastAsia="Arial" w:hAnsi="Arial"/>
                <w:sz w:val="13"/>
                <w:szCs w:val="13"/>
                <w:b w:val="1"/>
                <w:bCs w:val="1"/>
                <w:color w:val="auto"/>
              </w:rPr>
              <w:t>related</w:t>
            </w:r>
          </w:p>
        </w:tc>
        <w:tc>
          <w:tcPr>
            <w:tcW w:w="160" w:type="dxa"/>
            <w:vAlign w:val="bottom"/>
          </w:tcPr>
          <w:p>
            <w:pPr>
              <w:spacing w:after="0"/>
              <w:rPr>
                <w:sz w:val="12"/>
                <w:szCs w:val="12"/>
                <w:color w:val="auto"/>
              </w:rPr>
            </w:pPr>
          </w:p>
        </w:tc>
        <w:tc>
          <w:tcPr>
            <w:tcW w:w="1340" w:type="dxa"/>
            <w:vAlign w:val="bottom"/>
            <w:gridSpan w:val="9"/>
            <w:vMerge w:val="continue"/>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7"/>
          </w:tcPr>
          <w:p>
            <w:pPr>
              <w:jc w:val="center"/>
              <w:ind w:right="48"/>
              <w:spacing w:after="0"/>
              <w:rPr>
                <w:sz w:val="20"/>
                <w:szCs w:val="20"/>
                <w:color w:val="auto"/>
              </w:rPr>
            </w:pPr>
            <w:r>
              <w:rPr>
                <w:rFonts w:ascii="Arial" w:cs="Arial" w:eastAsia="Arial" w:hAnsi="Arial"/>
                <w:sz w:val="13"/>
                <w:szCs w:val="13"/>
                <w:b w:val="1"/>
                <w:bCs w:val="1"/>
                <w:color w:val="auto"/>
              </w:rPr>
              <w:t>impairment</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2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measure</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5"/>
          </w:tcPr>
          <w:p>
            <w:pPr>
              <w:ind w:left="20"/>
              <w:spacing w:after="0"/>
              <w:rPr>
                <w:sz w:val="20"/>
                <w:szCs w:val="20"/>
                <w:color w:val="auto"/>
              </w:rPr>
            </w:pPr>
            <w:r>
              <w:rPr>
                <w:rFonts w:ascii="Arial" w:cs="Arial" w:eastAsia="Arial" w:hAnsi="Arial"/>
                <w:sz w:val="13"/>
                <w:szCs w:val="13"/>
                <w:b w:val="1"/>
                <w:bCs w:val="1"/>
                <w:color w:val="auto"/>
              </w:rPr>
              <w:t>costs - SBC</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rPr>
              <w:t>Cash</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7"/>
          </w:tcPr>
          <w:p>
            <w:pPr>
              <w:jc w:val="right"/>
              <w:ind w:right="200"/>
              <w:spacing w:after="0"/>
              <w:rPr>
                <w:sz w:val="20"/>
                <w:szCs w:val="20"/>
                <w:color w:val="auto"/>
              </w:rPr>
            </w:pPr>
            <w:r>
              <w:rPr>
                <w:rFonts w:ascii="Arial" w:cs="Arial" w:eastAsia="Arial" w:hAnsi="Arial"/>
                <w:sz w:val="13"/>
                <w:szCs w:val="13"/>
                <w:b w:val="1"/>
                <w:bCs w:val="1"/>
                <w:color w:val="auto"/>
              </w:rPr>
              <w:t>costs</w:t>
            </w:r>
          </w:p>
        </w:tc>
        <w:tc>
          <w:tcPr>
            <w:tcW w:w="160" w:type="dxa"/>
            <w:vAlign w:val="bottom"/>
          </w:tcPr>
          <w:p>
            <w:pPr>
              <w:spacing w:after="0"/>
              <w:rPr>
                <w:sz w:val="14"/>
                <w:szCs w:val="14"/>
                <w:color w:val="auto"/>
              </w:rPr>
            </w:pPr>
          </w:p>
        </w:tc>
        <w:tc>
          <w:tcPr>
            <w:tcW w:w="1340" w:type="dxa"/>
            <w:vAlign w:val="bottom"/>
            <w:gridSpan w:val="9"/>
          </w:tcPr>
          <w:p>
            <w:pPr>
              <w:jc w:val="right"/>
              <w:ind w:right="360"/>
              <w:spacing w:after="0"/>
              <w:rPr>
                <w:sz w:val="20"/>
                <w:szCs w:val="20"/>
                <w:color w:val="auto"/>
              </w:rPr>
            </w:pPr>
            <w:r>
              <w:rPr>
                <w:rFonts w:ascii="Arial" w:cs="Arial" w:eastAsia="Arial" w:hAnsi="Arial"/>
                <w:sz w:val="13"/>
                <w:szCs w:val="13"/>
                <w:b w:val="1"/>
                <w:bCs w:val="1"/>
                <w:color w:val="auto"/>
              </w:rPr>
              <w:t>restructuring</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Arial" w:cs="Arial" w:eastAsia="Arial" w:hAnsi="Arial"/>
                <w:sz w:val="13"/>
                <w:szCs w:val="13"/>
                <w:b w:val="1"/>
                <w:bCs w:val="1"/>
                <w:color w:val="auto"/>
              </w:rPr>
              <w:t>and other</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9"/>
          </w:tcPr>
          <w:p>
            <w:pPr>
              <w:jc w:val="right"/>
              <w:ind w:right="260"/>
              <w:spacing w:after="0"/>
              <w:rPr>
                <w:sz w:val="20"/>
                <w:szCs w:val="20"/>
                <w:color w:val="auto"/>
              </w:rPr>
            </w:pPr>
            <w:r>
              <w:rPr>
                <w:rFonts w:ascii="Arial" w:cs="Arial" w:eastAsia="Arial" w:hAnsi="Arial"/>
                <w:sz w:val="13"/>
                <w:szCs w:val="13"/>
                <w:b w:val="1"/>
                <w:bCs w:val="1"/>
                <w:color w:val="auto"/>
              </w:rPr>
              <w:t>operating item</w:t>
            </w:r>
          </w:p>
        </w:tc>
        <w:tc>
          <w:tcPr>
            <w:tcW w:w="100" w:type="dxa"/>
            <w:vAlign w:val="bottom"/>
          </w:tcPr>
          <w:p>
            <w:pPr>
              <w:spacing w:after="0"/>
              <w:rPr>
                <w:sz w:val="14"/>
                <w:szCs w:val="14"/>
                <w:color w:val="auto"/>
              </w:rPr>
            </w:pPr>
          </w:p>
        </w:tc>
        <w:tc>
          <w:tcPr>
            <w:tcW w:w="900" w:type="dxa"/>
            <w:vAlign w:val="bottom"/>
            <w:gridSpan w:val="4"/>
          </w:tcPr>
          <w:p>
            <w:pPr>
              <w:ind w:left="60"/>
              <w:spacing w:after="0"/>
              <w:rPr>
                <w:sz w:val="20"/>
                <w:szCs w:val="20"/>
                <w:color w:val="auto"/>
              </w:rPr>
            </w:pPr>
            <w:r>
              <w:rPr>
                <w:rFonts w:ascii="Arial" w:cs="Arial" w:eastAsia="Arial" w:hAnsi="Arial"/>
                <w:sz w:val="13"/>
                <w:szCs w:val="13"/>
                <w:b w:val="1"/>
                <w:bCs w:val="1"/>
                <w:color w:val="auto"/>
              </w:rPr>
              <w:t>measure</w:t>
            </w:r>
          </w:p>
        </w:tc>
        <w:tc>
          <w:tcPr>
            <w:tcW w:w="0" w:type="dxa"/>
            <w:vAlign w:val="bottom"/>
          </w:tcPr>
          <w:p>
            <w:pPr>
              <w:spacing w:after="0"/>
              <w:rPr>
                <w:sz w:val="1"/>
                <w:szCs w:val="1"/>
                <w:color w:val="auto"/>
              </w:rPr>
            </w:pPr>
          </w:p>
        </w:tc>
      </w:tr>
      <w:tr>
        <w:trPr>
          <w:trHeight w:val="142"/>
        </w:trPr>
        <w:tc>
          <w:tcPr>
            <w:tcW w:w="22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top w:val="single" w:sz="8" w:color="auto"/>
            </w:tcBorders>
            <w:gridSpan w:val="2"/>
          </w:tcPr>
          <w:p>
            <w:pPr>
              <w:spacing w:after="0"/>
              <w:rPr>
                <w:sz w:val="12"/>
                <w:szCs w:val="12"/>
                <w:color w:val="auto"/>
              </w:rPr>
            </w:pPr>
          </w:p>
        </w:tc>
        <w:tc>
          <w:tcPr>
            <w:tcW w:w="240" w:type="dxa"/>
            <w:vAlign w:val="bottom"/>
            <w:gridSpan w:val="3"/>
          </w:tcPr>
          <w:p>
            <w:pPr>
              <w:spacing w:after="0"/>
              <w:rPr>
                <w:sz w:val="12"/>
                <w:szCs w:val="12"/>
                <w:color w:val="auto"/>
              </w:rPr>
            </w:pPr>
          </w:p>
        </w:tc>
        <w:tc>
          <w:tcPr>
            <w:tcW w:w="800" w:type="dxa"/>
            <w:vAlign w:val="bottom"/>
            <w:tcBorders>
              <w:top w:val="single" w:sz="8" w:color="auto"/>
            </w:tcBorders>
            <w:gridSpan w:val="2"/>
          </w:tcPr>
          <w:p>
            <w:pPr>
              <w:spacing w:after="0"/>
              <w:rPr>
                <w:sz w:val="12"/>
                <w:szCs w:val="12"/>
                <w:color w:val="auto"/>
              </w:rPr>
            </w:pPr>
          </w:p>
        </w:tc>
        <w:tc>
          <w:tcPr>
            <w:tcW w:w="240" w:type="dxa"/>
            <w:vAlign w:val="bottom"/>
            <w:gridSpan w:val="4"/>
          </w:tcPr>
          <w:p>
            <w:pPr>
              <w:spacing w:after="0"/>
              <w:rPr>
                <w:sz w:val="12"/>
                <w:szCs w:val="12"/>
                <w:color w:val="auto"/>
              </w:rPr>
            </w:pPr>
          </w:p>
        </w:tc>
        <w:tc>
          <w:tcPr>
            <w:tcW w:w="800" w:type="dxa"/>
            <w:vAlign w:val="bottom"/>
            <w:tcBorders>
              <w:top w:val="single" w:sz="8" w:color="auto"/>
            </w:tcBorders>
            <w:gridSpan w:val="5"/>
          </w:tcPr>
          <w:p>
            <w:pPr>
              <w:spacing w:after="0"/>
              <w:rPr>
                <w:sz w:val="12"/>
                <w:szCs w:val="12"/>
                <w:color w:val="auto"/>
              </w:rPr>
            </w:pPr>
          </w:p>
        </w:tc>
        <w:tc>
          <w:tcPr>
            <w:tcW w:w="240" w:type="dxa"/>
            <w:vAlign w:val="bottom"/>
            <w:gridSpan w:val="2"/>
          </w:tcPr>
          <w:p>
            <w:pPr>
              <w:spacing w:after="0"/>
              <w:rPr>
                <w:sz w:val="12"/>
                <w:szCs w:val="12"/>
                <w:color w:val="auto"/>
              </w:rPr>
            </w:pPr>
          </w:p>
        </w:tc>
        <w:tc>
          <w:tcPr>
            <w:tcW w:w="660" w:type="dxa"/>
            <w:vAlign w:val="bottom"/>
            <w:tcBorders>
              <w:top w:val="single" w:sz="8" w:color="auto"/>
            </w:tcBorders>
            <w:gridSpan w:val="8"/>
          </w:tcPr>
          <w:p>
            <w:pPr>
              <w:spacing w:after="0"/>
              <w:rPr>
                <w:sz w:val="12"/>
                <w:szCs w:val="12"/>
                <w:color w:val="auto"/>
              </w:rPr>
            </w:pPr>
          </w:p>
        </w:tc>
        <w:tc>
          <w:tcPr>
            <w:tcW w:w="200" w:type="dxa"/>
            <w:vAlign w:val="bottom"/>
            <w:gridSpan w:val="2"/>
          </w:tcPr>
          <w:p>
            <w:pPr>
              <w:spacing w:after="0"/>
              <w:rPr>
                <w:sz w:val="12"/>
                <w:szCs w:val="12"/>
                <w:color w:val="auto"/>
              </w:rPr>
            </w:pPr>
          </w:p>
        </w:tc>
        <w:tc>
          <w:tcPr>
            <w:tcW w:w="1120" w:type="dxa"/>
            <w:vAlign w:val="bottom"/>
            <w:tcBorders>
              <w:top w:val="single" w:sz="8" w:color="auto"/>
            </w:tcBorders>
            <w:gridSpan w:val="7"/>
          </w:tcPr>
          <w:p>
            <w:pPr>
              <w:spacing w:after="0"/>
              <w:rPr>
                <w:sz w:val="12"/>
                <w:szCs w:val="12"/>
                <w:color w:val="auto"/>
              </w:rPr>
            </w:pPr>
          </w:p>
        </w:tc>
        <w:tc>
          <w:tcPr>
            <w:tcW w:w="220" w:type="dxa"/>
            <w:vAlign w:val="bottom"/>
            <w:gridSpan w:val="2"/>
          </w:tcPr>
          <w:p>
            <w:pPr>
              <w:spacing w:after="0"/>
              <w:rPr>
                <w:sz w:val="12"/>
                <w:szCs w:val="12"/>
                <w:color w:val="auto"/>
              </w:rPr>
            </w:pPr>
          </w:p>
        </w:tc>
        <w:tc>
          <w:tcPr>
            <w:tcW w:w="980" w:type="dxa"/>
            <w:vAlign w:val="bottom"/>
            <w:tcBorders>
              <w:top w:val="single" w:sz="8" w:color="auto"/>
            </w:tcBorders>
            <w:gridSpan w:val="8"/>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top w:val="single" w:sz="8" w:color="auto"/>
            </w:tcBorders>
            <w:gridSpan w:val="7"/>
          </w:tcPr>
          <w:p>
            <w:pPr>
              <w:spacing w:after="0"/>
              <w:rPr>
                <w:sz w:val="12"/>
                <w:szCs w:val="12"/>
                <w:color w:val="auto"/>
              </w:rPr>
            </w:pPr>
          </w:p>
        </w:tc>
        <w:tc>
          <w:tcPr>
            <w:tcW w:w="220" w:type="dxa"/>
            <w:vAlign w:val="bottom"/>
            <w:gridSpan w:val="3"/>
          </w:tcPr>
          <w:p>
            <w:pPr>
              <w:spacing w:after="0"/>
              <w:rPr>
                <w:sz w:val="12"/>
                <w:szCs w:val="12"/>
                <w:color w:val="auto"/>
              </w:rPr>
            </w:pPr>
          </w:p>
        </w:tc>
        <w:tc>
          <w:tcPr>
            <w:tcW w:w="900" w:type="dxa"/>
            <w:vAlign w:val="bottom"/>
            <w:tcBorders>
              <w:top w:val="single" w:sz="8" w:color="auto"/>
            </w:tcBorders>
            <w:gridSpan w:val="4"/>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shd w:val="clear" w:color="auto" w:fill="CFF0FC"/>
          </w:tcPr>
          <w:p>
            <w:pPr>
              <w:spacing w:after="0"/>
              <w:rPr>
                <w:sz w:val="20"/>
                <w:szCs w:val="20"/>
                <w:color w:val="auto"/>
              </w:rPr>
            </w:pPr>
            <w:r>
              <w:rPr>
                <w:rFonts w:ascii="Arial" w:cs="Arial" w:eastAsia="Arial" w:hAnsi="Arial"/>
                <w:sz w:val="13"/>
                <w:szCs w:val="13"/>
                <w:color w:val="auto"/>
              </w:rPr>
              <w:t>Employee compensation</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565,908</w:t>
            </w:r>
          </w:p>
        </w:tc>
        <w:tc>
          <w:tcPr>
            <w:tcW w:w="60" w:type="dxa"/>
            <w:vAlign w:val="bottom"/>
            <w:shd w:val="clear" w:color="auto" w:fill="CFF0FC"/>
          </w:tcPr>
          <w:p>
            <w:pPr>
              <w:spacing w:after="0"/>
              <w:rPr>
                <w:sz w:val="12"/>
                <w:szCs w:val="12"/>
                <w:color w:val="auto"/>
              </w:rPr>
            </w:pPr>
          </w:p>
        </w:tc>
        <w:tc>
          <w:tcPr>
            <w:tcW w:w="260" w:type="dxa"/>
            <w:vAlign w:val="bottom"/>
            <w:gridSpan w:val="3"/>
            <w:shd w:val="clear" w:color="auto" w:fill="CFF0FC"/>
          </w:tcPr>
          <w:p>
            <w:pPr>
              <w:ind w:left="180"/>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(9,135)</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(3,963)</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FF0FC"/>
          </w:tcPr>
          <w:p>
            <w:pPr>
              <w:jc w:val="right"/>
              <w:ind w:right="113"/>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gridSpan w:val="4"/>
            <w:shd w:val="clear" w:color="auto" w:fill="CFF0FC"/>
          </w:tcPr>
          <w:p>
            <w:pPr>
              <w:jc w:val="right"/>
              <w:ind w:right="80"/>
              <w:spacing w:after="0"/>
              <w:rPr>
                <w:sz w:val="20"/>
                <w:szCs w:val="20"/>
                <w:color w:val="auto"/>
              </w:rPr>
            </w:pPr>
            <w:r>
              <w:rPr>
                <w:rFonts w:ascii="Arial" w:cs="Arial" w:eastAsia="Arial" w:hAnsi="Arial"/>
                <w:sz w:val="13"/>
                <w:szCs w:val="13"/>
                <w:color w:val="auto"/>
              </w:rPr>
              <w:t>(7,804)</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400" w:type="dxa"/>
            <w:vAlign w:val="bottom"/>
            <w:gridSpan w:val="5"/>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545,006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1240" w:type="dxa"/>
            <w:vAlign w:val="bottom"/>
            <w:gridSpan w:val="63"/>
          </w:tcPr>
          <w:p>
            <w:pPr>
              <w:spacing w:after="0" w:line="136" w:lineRule="exact"/>
              <w:rPr>
                <w:sz w:val="20"/>
                <w:szCs w:val="20"/>
                <w:color w:val="auto"/>
              </w:rPr>
            </w:pPr>
            <w:r>
              <w:rPr>
                <w:rFonts w:ascii="Arial" w:cs="Arial" w:eastAsia="Arial" w:hAnsi="Arial"/>
                <w:sz w:val="13"/>
                <w:szCs w:val="13"/>
                <w:color w:val="auto"/>
              </w:rPr>
              <w:t>Corporate - General and</w:t>
            </w:r>
          </w:p>
        </w:tc>
        <w:tc>
          <w:tcPr>
            <w:tcW w:w="0" w:type="dxa"/>
            <w:vAlign w:val="bottom"/>
          </w:tcPr>
          <w:p>
            <w:pPr>
              <w:spacing w:after="0"/>
              <w:rPr>
                <w:sz w:val="1"/>
                <w:szCs w:val="1"/>
                <w:color w:val="auto"/>
              </w:rPr>
            </w:pPr>
          </w:p>
        </w:tc>
      </w:tr>
      <w:tr>
        <w:trPr>
          <w:trHeight w:val="161"/>
        </w:trPr>
        <w:tc>
          <w:tcPr>
            <w:tcW w:w="2260" w:type="dxa"/>
            <w:vAlign w:val="bottom"/>
          </w:tcPr>
          <w:p>
            <w:pPr>
              <w:spacing w:after="0"/>
              <w:rPr>
                <w:sz w:val="20"/>
                <w:szCs w:val="20"/>
                <w:color w:val="auto"/>
              </w:rPr>
            </w:pPr>
            <w:r>
              <w:rPr>
                <w:rFonts w:ascii="Arial" w:cs="Arial" w:eastAsia="Arial" w:hAnsi="Arial"/>
                <w:sz w:val="13"/>
                <w:szCs w:val="13"/>
                <w:color w:val="auto"/>
              </w:rPr>
              <w:t>administrative expenses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40,671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(3,094)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(2,056)</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5"/>
          </w:tcPr>
          <w:p>
            <w:pPr>
              <w:jc w:val="right"/>
              <w:spacing w:after="0"/>
              <w:rPr>
                <w:sz w:val="20"/>
                <w:szCs w:val="20"/>
                <w:color w:val="auto"/>
              </w:rPr>
            </w:pPr>
            <w:r>
              <w:rPr>
                <w:rFonts w:ascii="Arial" w:cs="Arial" w:eastAsia="Arial" w:hAnsi="Arial"/>
                <w:sz w:val="13"/>
                <w:szCs w:val="13"/>
                <w:color w:val="auto"/>
              </w:rPr>
              <w:t>(2,290)</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4"/>
          </w:tcPr>
          <w:p>
            <w:pPr>
              <w:jc w:val="right"/>
              <w:ind w:right="80"/>
              <w:spacing w:after="0"/>
              <w:rPr>
                <w:sz w:val="20"/>
                <w:szCs w:val="20"/>
                <w:color w:val="auto"/>
              </w:rPr>
            </w:pPr>
            <w:r>
              <w:rPr>
                <w:rFonts w:ascii="Arial" w:cs="Arial" w:eastAsia="Arial" w:hAnsi="Arial"/>
                <w:sz w:val="13"/>
                <w:szCs w:val="13"/>
                <w:color w:val="auto"/>
              </w:rPr>
              <w:t>(1,834)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gridSpan w:val="5"/>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31,397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60" w:type="dxa"/>
            <w:vAlign w:val="bottom"/>
            <w:shd w:val="clear" w:color="auto" w:fill="CFF0FC"/>
          </w:tcPr>
          <w:p>
            <w:pPr>
              <w:spacing w:after="0"/>
              <w:rPr>
                <w:sz w:val="20"/>
                <w:szCs w:val="20"/>
                <w:color w:val="auto"/>
              </w:rPr>
            </w:pPr>
            <w:r>
              <w:rPr>
                <w:rFonts w:ascii="Arial" w:cs="Arial" w:eastAsia="Arial" w:hAnsi="Arial"/>
                <w:sz w:val="13"/>
                <w:szCs w:val="13"/>
                <w:color w:val="auto"/>
              </w:rPr>
              <w:t>Operating expenses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1,722,130</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(9,135)</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(3,963)</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(2,290)</w:t>
            </w: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gridSpan w:val="4"/>
            <w:shd w:val="clear" w:color="auto" w:fill="CFF0FC"/>
          </w:tcPr>
          <w:p>
            <w:pPr>
              <w:jc w:val="right"/>
              <w:ind w:right="80"/>
              <w:spacing w:after="0"/>
              <w:rPr>
                <w:sz w:val="20"/>
                <w:szCs w:val="20"/>
                <w:color w:val="auto"/>
              </w:rPr>
            </w:pPr>
            <w:r>
              <w:rPr>
                <w:rFonts w:ascii="Arial" w:cs="Arial" w:eastAsia="Arial" w:hAnsi="Arial"/>
                <w:sz w:val="13"/>
                <w:szCs w:val="13"/>
                <w:color w:val="auto"/>
              </w:rPr>
              <w:t>(7,804)</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140" w:type="dxa"/>
            <w:vAlign w:val="bottom"/>
            <w:gridSpan w:val="8"/>
            <w:shd w:val="clear" w:color="auto" w:fill="CFF0FC"/>
          </w:tcPr>
          <w:p>
            <w:pPr>
              <w:jc w:val="right"/>
              <w:ind w:right="91"/>
              <w:spacing w:after="0"/>
              <w:rPr>
                <w:sz w:val="20"/>
                <w:szCs w:val="20"/>
                <w:color w:val="auto"/>
              </w:rPr>
            </w:pPr>
            <w:r>
              <w:rPr>
                <w:rFonts w:ascii="Arial" w:cs="Arial" w:eastAsia="Arial" w:hAnsi="Arial"/>
                <w:sz w:val="13"/>
                <w:szCs w:val="13"/>
                <w:color w:val="auto"/>
              </w:rPr>
              <w:t>(1,097)</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400" w:type="dxa"/>
            <w:vAlign w:val="bottom"/>
            <w:gridSpan w:val="5"/>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1,697,841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20"/>
                <w:szCs w:val="20"/>
                <w:color w:val="auto"/>
              </w:rPr>
            </w:pPr>
            <w:r>
              <w:rPr>
                <w:rFonts w:ascii="Arial" w:cs="Arial" w:eastAsia="Arial" w:hAnsi="Arial"/>
                <w:sz w:val="13"/>
                <w:szCs w:val="13"/>
                <w:color w:val="auto"/>
              </w:rPr>
              <w:t>Operating income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509,312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9,135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3,963</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4"/>
          </w:tcPr>
          <w:p>
            <w:pPr>
              <w:jc w:val="right"/>
              <w:spacing w:after="0"/>
              <w:rPr>
                <w:sz w:val="20"/>
                <w:szCs w:val="20"/>
                <w:color w:val="auto"/>
              </w:rPr>
            </w:pPr>
            <w:r>
              <w:rPr>
                <w:rFonts w:ascii="Arial" w:cs="Arial" w:eastAsia="Arial" w:hAnsi="Arial"/>
                <w:sz w:val="13"/>
                <w:szCs w:val="13"/>
                <w:color w:val="auto"/>
              </w:rPr>
              <w:t>2,290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3"/>
          </w:tcPr>
          <w:p>
            <w:pPr>
              <w:jc w:val="right"/>
              <w:spacing w:after="0"/>
              <w:rPr>
                <w:sz w:val="20"/>
                <w:szCs w:val="20"/>
                <w:color w:val="auto"/>
              </w:rPr>
            </w:pPr>
            <w:r>
              <w:rPr>
                <w:rFonts w:ascii="Arial" w:cs="Arial" w:eastAsia="Arial" w:hAnsi="Arial"/>
                <w:sz w:val="13"/>
                <w:szCs w:val="13"/>
                <w:color w:val="auto"/>
              </w:rPr>
              <w:t>7,804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7"/>
          </w:tcPr>
          <w:p>
            <w:pPr>
              <w:jc w:val="right"/>
              <w:spacing w:after="0"/>
              <w:rPr>
                <w:sz w:val="20"/>
                <w:szCs w:val="20"/>
                <w:color w:val="auto"/>
              </w:rPr>
            </w:pPr>
            <w:r>
              <w:rPr>
                <w:rFonts w:ascii="Arial" w:cs="Arial" w:eastAsia="Arial" w:hAnsi="Arial"/>
                <w:sz w:val="13"/>
                <w:szCs w:val="13"/>
                <w:color w:val="auto"/>
              </w:rPr>
              <w:t>1,097</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gridSpan w:val="5"/>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533,601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shd w:val="clear" w:color="auto" w:fill="CFF0FC"/>
          </w:tcPr>
          <w:p>
            <w:pPr>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545,690</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9,135</w:t>
            </w: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3,963</w:t>
            </w: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2,290</w:t>
            </w: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7,804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gridSpan w:val="7"/>
            <w:shd w:val="clear" w:color="auto" w:fill="CFF0FC"/>
          </w:tcPr>
          <w:p>
            <w:pPr>
              <w:jc w:val="right"/>
              <w:spacing w:after="0"/>
              <w:rPr>
                <w:sz w:val="20"/>
                <w:szCs w:val="20"/>
                <w:color w:val="auto"/>
              </w:rPr>
            </w:pPr>
            <w:r>
              <w:rPr>
                <w:rFonts w:ascii="Arial" w:cs="Arial" w:eastAsia="Arial" w:hAnsi="Arial"/>
                <w:sz w:val="13"/>
                <w:szCs w:val="13"/>
                <w:color w:val="auto"/>
              </w:rPr>
              <w:t>1,097</w:t>
            </w: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gridSpan w:val="4"/>
            <w:shd w:val="clear" w:color="auto" w:fill="CFF0FC"/>
          </w:tcPr>
          <w:p>
            <w:pPr>
              <w:jc w:val="right"/>
              <w:ind w:right="40"/>
              <w:spacing w:after="0"/>
              <w:rPr>
                <w:sz w:val="20"/>
                <w:szCs w:val="20"/>
                <w:color w:val="auto"/>
              </w:rPr>
            </w:pPr>
            <w:r>
              <w:rPr>
                <w:rFonts w:ascii="Arial" w:cs="Arial" w:eastAsia="Arial" w:hAnsi="Arial"/>
                <w:sz w:val="13"/>
                <w:szCs w:val="13"/>
                <w:color w:val="auto"/>
              </w:rPr>
              <w:t>(152,867)</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417,112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20"/>
                <w:szCs w:val="20"/>
                <w:color w:val="auto"/>
              </w:rPr>
            </w:pPr>
            <w:r>
              <w:rPr>
                <w:rFonts w:ascii="Arial" w:cs="Arial" w:eastAsia="Arial" w:hAnsi="Arial"/>
                <w:sz w:val="13"/>
                <w:szCs w:val="13"/>
                <w:color w:val="auto"/>
              </w:rPr>
              <w:t>Provision for income taxes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127,211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1,035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678</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4"/>
          </w:tcPr>
          <w:p>
            <w:pPr>
              <w:jc w:val="right"/>
              <w:spacing w:after="0"/>
              <w:rPr>
                <w:sz w:val="20"/>
                <w:szCs w:val="20"/>
                <w:color w:val="auto"/>
              </w:rPr>
            </w:pPr>
            <w:r>
              <w:rPr>
                <w:rFonts w:ascii="Arial" w:cs="Arial" w:eastAsia="Arial" w:hAnsi="Arial"/>
                <w:sz w:val="13"/>
                <w:szCs w:val="13"/>
                <w:color w:val="auto"/>
              </w:rPr>
              <w:t>593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3"/>
          </w:tcPr>
          <w:p>
            <w:pPr>
              <w:jc w:val="right"/>
              <w:spacing w:after="0"/>
              <w:rPr>
                <w:sz w:val="20"/>
                <w:szCs w:val="20"/>
                <w:color w:val="auto"/>
              </w:rPr>
            </w:pPr>
            <w:r>
              <w:rPr>
                <w:rFonts w:ascii="Arial" w:cs="Arial" w:eastAsia="Arial" w:hAnsi="Arial"/>
                <w:sz w:val="13"/>
                <w:szCs w:val="13"/>
                <w:color w:val="auto"/>
              </w:rPr>
              <w:t>1,408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7"/>
          </w:tcPr>
          <w:p>
            <w:pPr>
              <w:jc w:val="right"/>
              <w:spacing w:after="0"/>
              <w:rPr>
                <w:sz w:val="20"/>
                <w:szCs w:val="20"/>
                <w:color w:val="auto"/>
              </w:rPr>
            </w:pPr>
            <w:r>
              <w:rPr>
                <w:rFonts w:ascii="Arial" w:cs="Arial" w:eastAsia="Arial" w:hAnsi="Arial"/>
                <w:sz w:val="13"/>
                <w:szCs w:val="13"/>
                <w:color w:val="auto"/>
              </w:rPr>
              <w:t>284</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3"/>
                <w:szCs w:val="13"/>
                <w:color w:val="auto"/>
              </w:rPr>
              <w:t>(36,621)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94,588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1240" w:type="dxa"/>
            <w:vAlign w:val="bottom"/>
            <w:gridSpan w:val="63"/>
            <w:shd w:val="clear" w:color="auto" w:fill="CFF0FC"/>
          </w:tcPr>
          <w:p>
            <w:pPr>
              <w:spacing w:after="0" w:line="136" w:lineRule="exact"/>
              <w:rPr>
                <w:sz w:val="20"/>
                <w:szCs w:val="20"/>
                <w:color w:val="auto"/>
              </w:rPr>
            </w:pPr>
            <w:r>
              <w:rPr>
                <w:rFonts w:ascii="Arial" w:cs="Arial" w:eastAsia="Arial" w:hAnsi="Arial"/>
                <w:sz w:val="13"/>
                <w:szCs w:val="13"/>
                <w:color w:val="auto"/>
              </w:rPr>
              <w:t>Net income attributable to TEGNA</w:t>
            </w:r>
          </w:p>
        </w:tc>
        <w:tc>
          <w:tcPr>
            <w:tcW w:w="0" w:type="dxa"/>
            <w:vAlign w:val="bottom"/>
          </w:tcPr>
          <w:p>
            <w:pPr>
              <w:spacing w:after="0"/>
              <w:rPr>
                <w:sz w:val="1"/>
                <w:szCs w:val="1"/>
                <w:color w:val="auto"/>
              </w:rPr>
            </w:pPr>
          </w:p>
        </w:tc>
      </w:tr>
      <w:tr>
        <w:trPr>
          <w:trHeight w:val="161"/>
        </w:trPr>
        <w:tc>
          <w:tcPr>
            <w:tcW w:w="2260" w:type="dxa"/>
            <w:vAlign w:val="bottom"/>
            <w:shd w:val="clear" w:color="auto" w:fill="CFF0FC"/>
          </w:tcPr>
          <w:p>
            <w:pPr>
              <w:spacing w:after="0"/>
              <w:rPr>
                <w:sz w:val="20"/>
                <w:szCs w:val="20"/>
                <w:color w:val="auto"/>
              </w:rPr>
            </w:pPr>
            <w:r>
              <w:rPr>
                <w:rFonts w:ascii="Arial" w:cs="Arial" w:eastAsia="Arial" w:hAnsi="Arial"/>
                <w:sz w:val="13"/>
                <w:szCs w:val="13"/>
                <w:color w:val="auto"/>
              </w:rPr>
              <w:t>Inc.</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419,152</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8,100</w:t>
            </w: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3,285</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1,697</w:t>
            </w: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6,396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20" w:type="dxa"/>
            <w:vAlign w:val="bottom"/>
            <w:gridSpan w:val="7"/>
            <w:shd w:val="clear" w:color="auto" w:fill="CFF0FC"/>
          </w:tcPr>
          <w:p>
            <w:pPr>
              <w:jc w:val="right"/>
              <w:spacing w:after="0"/>
              <w:rPr>
                <w:sz w:val="20"/>
                <w:szCs w:val="20"/>
                <w:color w:val="auto"/>
              </w:rPr>
            </w:pPr>
            <w:r>
              <w:rPr>
                <w:rFonts w:ascii="Arial" w:cs="Arial" w:eastAsia="Arial" w:hAnsi="Arial"/>
                <w:sz w:val="13"/>
                <w:szCs w:val="13"/>
                <w:color w:val="auto"/>
              </w:rPr>
              <w:t>813</w:t>
            </w: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4"/>
            <w:shd w:val="clear" w:color="auto" w:fill="CFF0FC"/>
          </w:tcPr>
          <w:p>
            <w:pPr>
              <w:jc w:val="right"/>
              <w:ind w:right="40"/>
              <w:spacing w:after="0"/>
              <w:rPr>
                <w:sz w:val="20"/>
                <w:szCs w:val="20"/>
                <w:color w:val="auto"/>
              </w:rPr>
            </w:pPr>
            <w:r>
              <w:rPr>
                <w:rFonts w:ascii="Arial" w:cs="Arial" w:eastAsia="Arial" w:hAnsi="Arial"/>
                <w:sz w:val="13"/>
                <w:szCs w:val="13"/>
                <w:color w:val="auto"/>
              </w:rPr>
              <w:t>(116,246)</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323,197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2260" w:type="dxa"/>
            <w:vAlign w:val="bottom"/>
          </w:tcPr>
          <w:p>
            <w:pPr>
              <w:spacing w:after="0"/>
              <w:rPr>
                <w:sz w:val="20"/>
                <w:szCs w:val="20"/>
                <w:color w:val="auto"/>
              </w:rPr>
            </w:pPr>
            <w:r>
              <w:rPr>
                <w:rFonts w:ascii="Arial" w:cs="Arial" w:eastAsia="Arial" w:hAnsi="Arial"/>
                <w:sz w:val="13"/>
                <w:szCs w:val="13"/>
                <w:color w:val="auto"/>
              </w:rPr>
              <w:t xml:space="preserve">Earnings per share - diluted </w:t>
            </w:r>
            <w:r>
              <w:rPr>
                <w:rFonts w:ascii="Arial" w:cs="Arial" w:eastAsia="Arial" w:hAnsi="Arial"/>
                <w:sz w:val="18"/>
                <w:szCs w:val="18"/>
                <w:color w:val="auto"/>
                <w:vertAlign w:val="superscript"/>
              </w:rPr>
              <w:t>(a)</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2.44</w:t>
            </w:r>
          </w:p>
        </w:tc>
        <w:tc>
          <w:tcPr>
            <w:tcW w:w="60" w:type="dxa"/>
            <w:vAlign w:val="bottom"/>
          </w:tcPr>
          <w:p>
            <w:pPr>
              <w:spacing w:after="0"/>
              <w:rPr>
                <w:sz w:val="20"/>
                <w:szCs w:val="20"/>
                <w:color w:val="auto"/>
              </w:rPr>
            </w:pPr>
          </w:p>
        </w:tc>
        <w:tc>
          <w:tcPr>
            <w:tcW w:w="260" w:type="dxa"/>
            <w:vAlign w:val="bottom"/>
            <w:gridSpan w:val="3"/>
          </w:tcPr>
          <w:p>
            <w:pPr>
              <w:ind w:left="18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0.05</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0.02</w:t>
            </w:r>
          </w:p>
        </w:tc>
        <w:tc>
          <w:tcPr>
            <w:tcW w:w="6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gridSpan w:val="4"/>
          </w:tcPr>
          <w:p>
            <w:pPr>
              <w:jc w:val="right"/>
              <w:spacing w:after="0"/>
              <w:rPr>
                <w:sz w:val="20"/>
                <w:szCs w:val="20"/>
                <w:color w:val="auto"/>
              </w:rPr>
            </w:pPr>
            <w:r>
              <w:rPr>
                <w:rFonts w:ascii="Arial" w:cs="Arial" w:eastAsia="Arial" w:hAnsi="Arial"/>
                <w:sz w:val="13"/>
                <w:szCs w:val="13"/>
                <w:color w:val="auto"/>
              </w:rPr>
              <w:t>0.01</w:t>
            </w:r>
          </w:p>
        </w:tc>
        <w:tc>
          <w:tcPr>
            <w:tcW w:w="40" w:type="dxa"/>
            <w:vAlign w:val="bottom"/>
          </w:tcPr>
          <w:p>
            <w:pPr>
              <w:spacing w:after="0"/>
              <w:rPr>
                <w:sz w:val="20"/>
                <w:szCs w:val="20"/>
                <w:color w:val="auto"/>
              </w:rPr>
            </w:pPr>
          </w:p>
        </w:tc>
        <w:tc>
          <w:tcPr>
            <w:tcW w:w="420" w:type="dxa"/>
            <w:vAlign w:val="bottom"/>
            <w:gridSpan w:val="2"/>
          </w:tcPr>
          <w:p>
            <w:pPr>
              <w:jc w:val="right"/>
              <w:ind w:right="1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gridSpan w:val="3"/>
          </w:tcPr>
          <w:p>
            <w:pPr>
              <w:jc w:val="right"/>
              <w:spacing w:after="0"/>
              <w:rPr>
                <w:sz w:val="20"/>
                <w:szCs w:val="20"/>
                <w:color w:val="auto"/>
              </w:rPr>
            </w:pPr>
            <w:r>
              <w:rPr>
                <w:rFonts w:ascii="Arial" w:cs="Arial" w:eastAsia="Arial" w:hAnsi="Arial"/>
                <w:sz w:val="13"/>
                <w:szCs w:val="13"/>
                <w:color w:val="auto"/>
              </w:rPr>
              <w:t>0.04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7"/>
          </w:tcPr>
          <w:p>
            <w:pPr>
              <w:jc w:val="right"/>
              <w:spacing w:after="0"/>
              <w:rPr>
                <w:sz w:val="20"/>
                <w:szCs w:val="20"/>
                <w:color w:val="auto"/>
              </w:rPr>
            </w:pPr>
            <w:r>
              <w:rPr>
                <w:rFonts w:ascii="Arial" w:cs="Arial" w:eastAsia="Arial" w:hAnsi="Arial"/>
                <w:sz w:val="13"/>
                <w:szCs w:val="13"/>
                <w:color w:val="auto"/>
              </w:rPr>
              <w:t>0.01</w:t>
            </w:r>
          </w:p>
        </w:tc>
        <w:tc>
          <w:tcPr>
            <w:tcW w:w="3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3"/>
                <w:szCs w:val="13"/>
                <w:color w:val="auto"/>
              </w:rPr>
              <w:t>(0.68)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1.88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16"/>
          <w:szCs w:val="16"/>
          <w:color w:val="auto"/>
          <w:vertAlign w:val="superscript"/>
        </w:rPr>
      </w:pPr>
      <w:r>
        <w:rPr>
          <w:rFonts w:ascii="Arial" w:cs="Arial" w:eastAsia="Arial" w:hAnsi="Arial"/>
          <w:sz w:val="12"/>
          <w:szCs w:val="12"/>
          <w:color w:val="auto"/>
        </w:rPr>
        <w:t>Per share amounts do not sum due to rounding</w:t>
      </w:r>
      <w:r>
        <w:rPr>
          <w:rFonts w:ascii="Arial" w:cs="Arial" w:eastAsia="Arial" w:hAnsi="Arial"/>
          <w:sz w:val="13"/>
          <w:szCs w:val="13"/>
          <w:color w:val="auto"/>
        </w:rPr>
        <w: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color w:val="auto"/>
        </w:rPr>
        <w:t>Adjusted EBITDA - Non-GAAP</w:t>
      </w:r>
    </w:p>
    <w:p>
      <w:pPr>
        <w:spacing w:after="0" w:line="167" w:lineRule="exact"/>
        <w:rPr>
          <w:sz w:val="20"/>
          <w:szCs w:val="20"/>
          <w:color w:val="auto"/>
        </w:rPr>
      </w:pPr>
    </w:p>
    <w:p>
      <w:pPr>
        <w:ind w:right="460" w:firstLine="374"/>
        <w:spacing w:after="0" w:line="286" w:lineRule="auto"/>
        <w:rPr>
          <w:sz w:val="20"/>
          <w:szCs w:val="20"/>
          <w:color w:val="auto"/>
        </w:rPr>
      </w:pPr>
      <w:r>
        <w:rPr>
          <w:rFonts w:ascii="Arial" w:cs="Arial" w:eastAsia="Arial" w:hAnsi="Arial"/>
          <w:sz w:val="16"/>
          <w:szCs w:val="16"/>
          <w:color w:val="auto"/>
        </w:rPr>
        <w:t>Reconciliations of Adjusted EBITDA to net income presented in accordance with GAAP on our Consolidated Statements of Income are presented below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7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93"/>
              <w:spacing w:after="0"/>
              <w:rPr>
                <w:sz w:val="20"/>
                <w:szCs w:val="20"/>
                <w:color w:val="auto"/>
              </w:rPr>
            </w:pPr>
            <w:r>
              <w:rPr>
                <w:rFonts w:ascii="Arial" w:cs="Arial" w:eastAsia="Arial" w:hAnsi="Arial"/>
                <w:sz w:val="13"/>
                <w:szCs w:val="13"/>
                <w:b w:val="1"/>
                <w:bCs w:val="1"/>
                <w:color w:val="auto"/>
              </w:rPr>
              <w:t>Quarter ended Sept. 30,</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ind w:left="480"/>
              <w:spacing w:after="0"/>
              <w:rPr>
                <w:sz w:val="20"/>
                <w:szCs w:val="20"/>
                <w:color w:val="auto"/>
              </w:rPr>
            </w:pPr>
            <w:r>
              <w:rPr>
                <w:rFonts w:ascii="Arial" w:cs="Arial" w:eastAsia="Arial" w:hAnsi="Arial"/>
                <w:sz w:val="13"/>
                <w:szCs w:val="13"/>
                <w:b w:val="1"/>
                <w:bCs w:val="1"/>
                <w:color w:val="auto"/>
              </w:rPr>
              <w:t>Nine months ended Sept. 30,</w:t>
            </w:r>
          </w:p>
        </w:tc>
        <w:tc>
          <w:tcPr>
            <w:tcW w:w="800" w:type="dxa"/>
            <w:vAlign w:val="bottom"/>
            <w:tcBorders>
              <w:bottom w:val="single" w:sz="8" w:color="auto"/>
            </w:tcBorders>
          </w:tcPr>
          <w:p>
            <w:pPr>
              <w:spacing w:after="0"/>
              <w:rPr>
                <w:sz w:val="14"/>
                <w:szCs w:val="14"/>
                <w:color w:val="auto"/>
              </w:rPr>
            </w:pPr>
          </w:p>
        </w:tc>
      </w:tr>
      <w:tr>
        <w:trPr>
          <w:trHeight w:val="142"/>
        </w:trPr>
        <w:tc>
          <w:tcPr>
            <w:tcW w:w="378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2025</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2"/>
                <w:szCs w:val="12"/>
                <w:color w:val="auto"/>
              </w:rPr>
            </w:pPr>
          </w:p>
        </w:tc>
        <w:tc>
          <w:tcPr>
            <w:tcW w:w="10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3"/>
                <w:szCs w:val="13"/>
                <w:b w:val="1"/>
                <w:bCs w:val="1"/>
                <w:color w:val="auto"/>
              </w:rPr>
              <w:t>Change</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3"/>
                <w:szCs w:val="13"/>
                <w:b w:val="1"/>
                <w:bCs w:val="1"/>
                <w:color w:val="auto"/>
              </w:rPr>
              <w:t>Change</w:t>
            </w:r>
          </w:p>
        </w:tc>
      </w:tr>
      <w:tr>
        <w:trPr>
          <w:trHeight w:val="142"/>
        </w:trPr>
        <w:tc>
          <w:tcPr>
            <w:tcW w:w="3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3780" w:type="dxa"/>
            <w:vAlign w:val="bottom"/>
            <w:shd w:val="clear" w:color="auto" w:fill="CFF0FC"/>
          </w:tcPr>
          <w:p>
            <w:pPr>
              <w:spacing w:after="0"/>
              <w:rPr>
                <w:sz w:val="20"/>
                <w:szCs w:val="20"/>
                <w:color w:val="auto"/>
              </w:rPr>
            </w:pPr>
            <w:r>
              <w:rPr>
                <w:rFonts w:ascii="Arial" w:cs="Arial" w:eastAsia="Arial" w:hAnsi="Arial"/>
                <w:sz w:val="13"/>
                <w:szCs w:val="13"/>
                <w:color w:val="auto"/>
              </w:rPr>
              <w:t>Net income attributable to TEGNA Inc. (GAAP basis)</w:t>
            </w:r>
          </w:p>
        </w:tc>
        <w:tc>
          <w:tcPr>
            <w:tcW w:w="840" w:type="dxa"/>
            <w:vAlign w:val="bottom"/>
            <w:shd w:val="clear" w:color="auto" w:fill="CFF0FC"/>
          </w:tcPr>
          <w:p>
            <w:pPr>
              <w:jc w:val="right"/>
              <w:ind w:right="693"/>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37,116</w:t>
            </w:r>
          </w:p>
        </w:tc>
        <w:tc>
          <w:tcPr>
            <w:tcW w:w="34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147,448</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(75%)</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163,709</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419,152</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w:t>
            </w:r>
          </w:p>
        </w:tc>
      </w:tr>
      <w:tr>
        <w:trPr>
          <w:trHeight w:val="136"/>
        </w:trPr>
        <w:tc>
          <w:tcPr>
            <w:tcW w:w="3780" w:type="dxa"/>
            <w:vAlign w:val="bottom"/>
          </w:tcPr>
          <w:p>
            <w:pPr>
              <w:ind w:left="80"/>
              <w:spacing w:after="0" w:line="136" w:lineRule="exact"/>
              <w:rPr>
                <w:sz w:val="20"/>
                <w:szCs w:val="20"/>
                <w:color w:val="auto"/>
              </w:rPr>
            </w:pPr>
            <w:r>
              <w:rPr>
                <w:rFonts w:ascii="Arial" w:cs="Arial" w:eastAsia="Arial" w:hAnsi="Arial"/>
                <w:sz w:val="13"/>
                <w:szCs w:val="13"/>
                <w:color w:val="auto"/>
              </w:rPr>
              <w:t>Less: Net loss attributable to redeemable noncontrolling</w:t>
            </w:r>
          </w:p>
        </w:tc>
        <w:tc>
          <w:tcPr>
            <w:tcW w:w="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1"/>
        </w:trPr>
        <w:tc>
          <w:tcPr>
            <w:tcW w:w="3780" w:type="dxa"/>
            <w:vAlign w:val="bottom"/>
          </w:tcPr>
          <w:p>
            <w:pPr>
              <w:ind w:left="80"/>
              <w:spacing w:after="0"/>
              <w:rPr>
                <w:sz w:val="20"/>
                <w:szCs w:val="20"/>
                <w:color w:val="auto"/>
              </w:rPr>
            </w:pPr>
            <w:r>
              <w:rPr>
                <w:rFonts w:ascii="Arial" w:cs="Arial" w:eastAsia="Arial" w:hAnsi="Arial"/>
                <w:sz w:val="13"/>
                <w:szCs w:val="13"/>
                <w:color w:val="auto"/>
              </w:rPr>
              <w:t>interest</w:t>
            </w:r>
          </w:p>
        </w:tc>
        <w:tc>
          <w:tcPr>
            <w:tcW w:w="840" w:type="dxa"/>
            <w:vAlign w:val="bottom"/>
          </w:tcPr>
          <w:p>
            <w:pPr>
              <w:spacing w:after="0"/>
              <w:rPr>
                <w:sz w:val="14"/>
                <w:szCs w:val="14"/>
                <w:color w:val="auto"/>
              </w:rPr>
            </w:pPr>
          </w:p>
        </w:tc>
        <w:tc>
          <w:tcPr>
            <w:tcW w:w="6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(260)</w:t>
            </w:r>
          </w:p>
        </w:tc>
        <w:tc>
          <w:tcPr>
            <w:tcW w:w="1140" w:type="dxa"/>
            <w:vAlign w:val="bottom"/>
            <w:gridSpan w:val="2"/>
          </w:tcPr>
          <w:p>
            <w:pPr>
              <w:jc w:val="right"/>
              <w:ind w:right="13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(384)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(673)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(43%)</w:t>
            </w:r>
          </w:p>
        </w:tc>
      </w:tr>
      <w:tr>
        <w:trPr>
          <w:trHeight w:val="148"/>
        </w:trPr>
        <w:tc>
          <w:tcPr>
            <w:tcW w:w="3780" w:type="dxa"/>
            <w:vAlign w:val="bottom"/>
            <w:shd w:val="clear" w:color="auto" w:fill="CFF0FC"/>
          </w:tcPr>
          <w:p>
            <w:pPr>
              <w:ind w:left="80"/>
              <w:spacing w:after="0"/>
              <w:rPr>
                <w:sz w:val="20"/>
                <w:szCs w:val="20"/>
                <w:color w:val="auto"/>
              </w:rPr>
            </w:pPr>
            <w:r>
              <w:rPr>
                <w:rFonts w:ascii="Arial" w:cs="Arial" w:eastAsia="Arial" w:hAnsi="Arial"/>
                <w:sz w:val="13"/>
                <w:szCs w:val="13"/>
                <w:color w:val="auto"/>
              </w:rPr>
              <w:t>Plus: Provision for income taxes</w:t>
            </w:r>
          </w:p>
        </w:tc>
        <w:tc>
          <w:tcPr>
            <w:tcW w:w="84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16,808</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44,743</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(62%)</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52,233</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127,211</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w:t>
            </w:r>
          </w:p>
        </w:tc>
      </w:tr>
      <w:tr>
        <w:trPr>
          <w:trHeight w:val="149"/>
        </w:trPr>
        <w:tc>
          <w:tcPr>
            <w:tcW w:w="3780" w:type="dxa"/>
            <w:vAlign w:val="bottom"/>
          </w:tcPr>
          <w:p>
            <w:pPr>
              <w:ind w:left="80"/>
              <w:spacing w:after="0"/>
              <w:rPr>
                <w:sz w:val="20"/>
                <w:szCs w:val="20"/>
                <w:color w:val="auto"/>
              </w:rPr>
            </w:pPr>
            <w:r>
              <w:rPr>
                <w:rFonts w:ascii="Arial" w:cs="Arial" w:eastAsia="Arial" w:hAnsi="Arial"/>
                <w:sz w:val="13"/>
                <w:szCs w:val="13"/>
                <w:color w:val="auto"/>
              </w:rPr>
              <w:t>Plus: Interest expense</w:t>
            </w:r>
          </w:p>
        </w:tc>
        <w:tc>
          <w:tcPr>
            <w:tcW w:w="840" w:type="dxa"/>
            <w:vAlign w:val="bottom"/>
          </w:tcPr>
          <w:p>
            <w:pPr>
              <w:spacing w:after="0"/>
              <w:rPr>
                <w:sz w:val="12"/>
                <w:szCs w:val="12"/>
                <w:color w:val="auto"/>
              </w:rPr>
            </w:pPr>
          </w:p>
        </w:tc>
        <w:tc>
          <w:tcPr>
            <w:tcW w:w="620" w:type="dxa"/>
            <w:vAlign w:val="bottom"/>
          </w:tcPr>
          <w:p>
            <w:pPr>
              <w:jc w:val="right"/>
              <w:ind w:right="53"/>
              <w:spacing w:after="0"/>
              <w:rPr>
                <w:sz w:val="20"/>
                <w:szCs w:val="20"/>
                <w:color w:val="auto"/>
              </w:rPr>
            </w:pPr>
            <w:r>
              <w:rPr>
                <w:rFonts w:ascii="Arial" w:cs="Arial" w:eastAsia="Arial" w:hAnsi="Arial"/>
                <w:sz w:val="13"/>
                <w:szCs w:val="13"/>
                <w:color w:val="auto"/>
              </w:rPr>
              <w:t>39,027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ind w:right="53"/>
              <w:spacing w:after="0"/>
              <w:rPr>
                <w:sz w:val="20"/>
                <w:szCs w:val="20"/>
                <w:color w:val="auto"/>
              </w:rPr>
            </w:pPr>
            <w:r>
              <w:rPr>
                <w:rFonts w:ascii="Arial" w:cs="Arial" w:eastAsia="Arial" w:hAnsi="Arial"/>
                <w:sz w:val="13"/>
                <w:szCs w:val="13"/>
                <w:color w:val="auto"/>
              </w:rPr>
              <w:t>42,288</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122,627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126,404</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48"/>
        </w:trPr>
        <w:tc>
          <w:tcPr>
            <w:tcW w:w="3780" w:type="dxa"/>
            <w:vAlign w:val="bottom"/>
            <w:shd w:val="clear" w:color="auto" w:fill="CFF0FC"/>
          </w:tcPr>
          <w:p>
            <w:pPr>
              <w:ind w:left="80"/>
              <w:spacing w:after="0"/>
              <w:rPr>
                <w:sz w:val="20"/>
                <w:szCs w:val="20"/>
                <w:color w:val="auto"/>
              </w:rPr>
            </w:pPr>
            <w:r>
              <w:rPr>
                <w:rFonts w:ascii="Arial" w:cs="Arial" w:eastAsia="Arial" w:hAnsi="Arial"/>
                <w:sz w:val="13"/>
                <w:szCs w:val="13"/>
                <w:color w:val="auto"/>
              </w:rPr>
              <w:t>Less: Interest income</w:t>
            </w:r>
          </w:p>
        </w:tc>
        <w:tc>
          <w:tcPr>
            <w:tcW w:w="84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(5,935)</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(7,023)</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(22,176)</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(18,469)</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w:t>
            </w:r>
          </w:p>
        </w:tc>
      </w:tr>
      <w:tr>
        <w:trPr>
          <w:trHeight w:val="148"/>
        </w:trPr>
        <w:tc>
          <w:tcPr>
            <w:tcW w:w="378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Plus (Less): Other non-operating items, net</w:t>
            </w:r>
          </w:p>
        </w:tc>
        <w:tc>
          <w:tcPr>
            <w:tcW w:w="8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5,104</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2,696</w:t>
            </w:r>
          </w:p>
        </w:tc>
        <w:tc>
          <w:tcPr>
            <w:tcW w:w="100" w:type="dxa"/>
            <w:vAlign w:val="bottom"/>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7,548</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(144,313)</w:t>
            </w: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r>
      <w:tr>
        <w:trPr>
          <w:trHeight w:val="142"/>
        </w:trPr>
        <w:tc>
          <w:tcPr>
            <w:tcW w:w="37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Operating income (GAAP basis)</w:t>
            </w:r>
          </w:p>
        </w:tc>
        <w:tc>
          <w:tcPr>
            <w:tcW w:w="84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53"/>
              <w:spacing w:after="0" w:line="142" w:lineRule="exact"/>
              <w:rPr>
                <w:sz w:val="20"/>
                <w:szCs w:val="20"/>
                <w:color w:val="auto"/>
              </w:rPr>
            </w:pPr>
            <w:r>
              <w:rPr>
                <w:rFonts w:ascii="Arial" w:cs="Arial" w:eastAsia="Arial" w:hAnsi="Arial"/>
                <w:sz w:val="13"/>
                <w:szCs w:val="13"/>
                <w:color w:val="auto"/>
              </w:rPr>
              <w:t>92,120</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53"/>
              <w:spacing w:after="0" w:line="142" w:lineRule="exact"/>
              <w:rPr>
                <w:sz w:val="20"/>
                <w:szCs w:val="20"/>
                <w:color w:val="auto"/>
              </w:rPr>
            </w:pPr>
            <w:r>
              <w:rPr>
                <w:rFonts w:ascii="Arial" w:cs="Arial" w:eastAsia="Arial" w:hAnsi="Arial"/>
                <w:sz w:val="13"/>
                <w:szCs w:val="13"/>
                <w:color w:val="auto"/>
              </w:rPr>
              <w:t>229,892</w:t>
            </w:r>
          </w:p>
        </w:tc>
        <w:tc>
          <w:tcPr>
            <w:tcW w:w="1140" w:type="dxa"/>
            <w:vAlign w:val="bottom"/>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(60%)</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53"/>
              <w:spacing w:after="0" w:line="142" w:lineRule="exact"/>
              <w:rPr>
                <w:sz w:val="20"/>
                <w:szCs w:val="20"/>
                <w:color w:val="auto"/>
              </w:rPr>
            </w:pPr>
            <w:r>
              <w:rPr>
                <w:rFonts w:ascii="Arial" w:cs="Arial" w:eastAsia="Arial" w:hAnsi="Arial"/>
                <w:sz w:val="13"/>
                <w:szCs w:val="13"/>
                <w:color w:val="auto"/>
              </w:rPr>
              <w:t>323,557</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53"/>
              <w:spacing w:after="0" w:line="142" w:lineRule="exact"/>
              <w:rPr>
                <w:sz w:val="20"/>
                <w:szCs w:val="20"/>
                <w:color w:val="auto"/>
              </w:rPr>
            </w:pPr>
            <w:r>
              <w:rPr>
                <w:rFonts w:ascii="Arial" w:cs="Arial" w:eastAsia="Arial" w:hAnsi="Arial"/>
                <w:sz w:val="13"/>
                <w:szCs w:val="13"/>
                <w:color w:val="auto"/>
              </w:rPr>
              <w:t>509,312</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(36%)</w:t>
            </w:r>
          </w:p>
        </w:tc>
      </w:tr>
      <w:tr>
        <w:trPr>
          <w:trHeight w:val="149"/>
        </w:trPr>
        <w:tc>
          <w:tcPr>
            <w:tcW w:w="3780" w:type="dxa"/>
            <w:vAlign w:val="bottom"/>
          </w:tcPr>
          <w:p>
            <w:pPr>
              <w:ind w:left="80"/>
              <w:spacing w:after="0"/>
              <w:rPr>
                <w:sz w:val="20"/>
                <w:szCs w:val="20"/>
                <w:color w:val="auto"/>
              </w:rPr>
            </w:pPr>
            <w:r>
              <w:rPr>
                <w:rFonts w:ascii="Arial" w:cs="Arial" w:eastAsia="Arial" w:hAnsi="Arial"/>
                <w:sz w:val="13"/>
                <w:szCs w:val="13"/>
                <w:color w:val="auto"/>
              </w:rPr>
              <w:t>Plus: Octillion earnout adjustment</w:t>
            </w:r>
          </w:p>
        </w:tc>
        <w:tc>
          <w:tcPr>
            <w:tcW w:w="840" w:type="dxa"/>
            <w:vAlign w:val="bottom"/>
          </w:tcPr>
          <w:p>
            <w:pPr>
              <w:spacing w:after="0"/>
              <w:rPr>
                <w:sz w:val="12"/>
                <w:szCs w:val="12"/>
                <w:color w:val="auto"/>
              </w:rPr>
            </w:pPr>
          </w:p>
        </w:tc>
        <w:tc>
          <w:tcPr>
            <w:tcW w:w="6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3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1,697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tcPr>
          <w:p>
            <w:pPr>
              <w:jc w:val="right"/>
              <w:ind w:right="54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w:t>
            </w:r>
          </w:p>
        </w:tc>
      </w:tr>
      <w:tr>
        <w:trPr>
          <w:trHeight w:val="136"/>
        </w:trPr>
        <w:tc>
          <w:tcPr>
            <w:tcW w:w="3780" w:type="dxa"/>
            <w:vAlign w:val="bottom"/>
            <w:shd w:val="clear" w:color="auto" w:fill="CFF0FC"/>
          </w:tcPr>
          <w:p>
            <w:pPr>
              <w:ind w:left="80"/>
              <w:spacing w:after="0" w:line="136" w:lineRule="exact"/>
              <w:rPr>
                <w:sz w:val="20"/>
                <w:szCs w:val="20"/>
                <w:color w:val="auto"/>
              </w:rPr>
            </w:pPr>
            <w:r>
              <w:rPr>
                <w:rFonts w:ascii="Arial" w:cs="Arial" w:eastAsia="Arial" w:hAnsi="Arial"/>
                <w:sz w:val="13"/>
                <w:szCs w:val="13"/>
                <w:color w:val="auto"/>
              </w:rPr>
              <w:t>Plus: Retention costs - employee awards stock-based</w:t>
            </w:r>
          </w:p>
        </w:tc>
        <w:tc>
          <w:tcPr>
            <w:tcW w:w="8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r>
      <w:tr>
        <w:trPr>
          <w:trHeight w:val="161"/>
        </w:trPr>
        <w:tc>
          <w:tcPr>
            <w:tcW w:w="3780" w:type="dxa"/>
            <w:vAlign w:val="bottom"/>
            <w:shd w:val="clear" w:color="auto" w:fill="CFF0FC"/>
          </w:tcPr>
          <w:p>
            <w:pPr>
              <w:ind w:left="80"/>
              <w:spacing w:after="0"/>
              <w:rPr>
                <w:sz w:val="20"/>
                <w:szCs w:val="20"/>
                <w:color w:val="auto"/>
              </w:rPr>
            </w:pPr>
            <w:r>
              <w:rPr>
                <w:rFonts w:ascii="Arial" w:cs="Arial" w:eastAsia="Arial" w:hAnsi="Arial"/>
                <w:sz w:val="13"/>
                <w:szCs w:val="13"/>
                <w:color w:val="auto"/>
              </w:rPr>
              <w:t>compensation</w:t>
            </w:r>
          </w:p>
        </w:tc>
        <w:tc>
          <w:tcPr>
            <w:tcW w:w="84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4,044</w:t>
            </w:r>
          </w:p>
        </w:tc>
        <w:tc>
          <w:tcPr>
            <w:tcW w:w="1140" w:type="dxa"/>
            <w:vAlign w:val="bottom"/>
            <w:gridSpan w:val="2"/>
            <w:shd w:val="clear" w:color="auto" w:fill="CFF0FC"/>
          </w:tcPr>
          <w:p>
            <w:pPr>
              <w:jc w:val="right"/>
              <w:ind w:right="133"/>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1,634</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9,135</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w:t>
            </w:r>
          </w:p>
        </w:tc>
      </w:tr>
      <w:tr>
        <w:trPr>
          <w:trHeight w:val="148"/>
        </w:trPr>
        <w:tc>
          <w:tcPr>
            <w:tcW w:w="3780" w:type="dxa"/>
            <w:vAlign w:val="bottom"/>
          </w:tcPr>
          <w:p>
            <w:pPr>
              <w:ind w:left="80"/>
              <w:spacing w:after="0"/>
              <w:rPr>
                <w:sz w:val="20"/>
                <w:szCs w:val="20"/>
                <w:color w:val="auto"/>
              </w:rPr>
            </w:pPr>
            <w:r>
              <w:rPr>
                <w:rFonts w:ascii="Arial" w:cs="Arial" w:eastAsia="Arial" w:hAnsi="Arial"/>
                <w:sz w:val="13"/>
                <w:szCs w:val="13"/>
                <w:color w:val="auto"/>
              </w:rPr>
              <w:t>Plus: Retention costs - cash</w:t>
            </w:r>
          </w:p>
        </w:tc>
        <w:tc>
          <w:tcPr>
            <w:tcW w:w="840" w:type="dxa"/>
            <w:vAlign w:val="bottom"/>
          </w:tcPr>
          <w:p>
            <w:pPr>
              <w:spacing w:after="0"/>
              <w:rPr>
                <w:sz w:val="12"/>
                <w:szCs w:val="12"/>
                <w:color w:val="auto"/>
              </w:rPr>
            </w:pPr>
          </w:p>
        </w:tc>
        <w:tc>
          <w:tcPr>
            <w:tcW w:w="620" w:type="dxa"/>
            <w:vAlign w:val="bottom"/>
          </w:tcPr>
          <w:p>
            <w:pPr>
              <w:jc w:val="right"/>
              <w:ind w:right="53"/>
              <w:spacing w:after="0"/>
              <w:rPr>
                <w:sz w:val="20"/>
                <w:szCs w:val="20"/>
                <w:color w:val="auto"/>
              </w:rPr>
            </w:pPr>
            <w:r>
              <w:rPr>
                <w:rFonts w:ascii="Arial" w:cs="Arial" w:eastAsia="Arial" w:hAnsi="Arial"/>
                <w:sz w:val="13"/>
                <w:szCs w:val="13"/>
                <w:color w:val="auto"/>
              </w:rPr>
              <w:t>1,179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ind w:right="53"/>
              <w:spacing w:after="0"/>
              <w:rPr>
                <w:sz w:val="20"/>
                <w:szCs w:val="20"/>
                <w:color w:val="auto"/>
              </w:rPr>
            </w:pPr>
            <w:r>
              <w:rPr>
                <w:rFonts w:ascii="Arial" w:cs="Arial" w:eastAsia="Arial" w:hAnsi="Arial"/>
                <w:sz w:val="13"/>
                <w:szCs w:val="13"/>
                <w:color w:val="auto"/>
              </w:rPr>
              <w:t>2,390</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1,886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3,963</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148"/>
        </w:trPr>
        <w:tc>
          <w:tcPr>
            <w:tcW w:w="3780" w:type="dxa"/>
            <w:vAlign w:val="bottom"/>
            <w:shd w:val="clear" w:color="auto" w:fill="CFF0FC"/>
          </w:tcPr>
          <w:p>
            <w:pPr>
              <w:ind w:left="80"/>
              <w:spacing w:after="0"/>
              <w:rPr>
                <w:sz w:val="20"/>
                <w:szCs w:val="20"/>
                <w:color w:val="auto"/>
              </w:rPr>
            </w:pPr>
            <w:r>
              <w:rPr>
                <w:rFonts w:ascii="Arial" w:cs="Arial" w:eastAsia="Arial" w:hAnsi="Arial"/>
                <w:sz w:val="13"/>
                <w:szCs w:val="13"/>
                <w:color w:val="auto"/>
              </w:rPr>
              <w:t>Plus: M&amp;A-related costs</w:t>
            </w:r>
          </w:p>
        </w:tc>
        <w:tc>
          <w:tcPr>
            <w:tcW w:w="84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12,368</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FF0FC"/>
          </w:tcPr>
          <w:p>
            <w:pPr>
              <w:jc w:val="right"/>
              <w:ind w:right="133"/>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12,368</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2,290</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133"/>
              <w:spacing w:after="0"/>
              <w:rPr>
                <w:sz w:val="20"/>
                <w:szCs w:val="20"/>
                <w:color w:val="auto"/>
              </w:rPr>
            </w:pPr>
            <w:r>
              <w:rPr>
                <w:rFonts w:ascii="Arial" w:cs="Arial" w:eastAsia="Arial" w:hAnsi="Arial"/>
                <w:sz w:val="13"/>
                <w:szCs w:val="13"/>
                <w:color w:val="auto"/>
              </w:rPr>
              <w:t>***</w:t>
            </w:r>
          </w:p>
        </w:tc>
      </w:tr>
      <w:tr>
        <w:trPr>
          <w:trHeight w:val="148"/>
        </w:trPr>
        <w:tc>
          <w:tcPr>
            <w:tcW w:w="3780" w:type="dxa"/>
            <w:vAlign w:val="bottom"/>
          </w:tcPr>
          <w:p>
            <w:pPr>
              <w:ind w:left="80"/>
              <w:spacing w:after="0"/>
              <w:rPr>
                <w:sz w:val="20"/>
                <w:szCs w:val="20"/>
                <w:color w:val="auto"/>
              </w:rPr>
            </w:pPr>
            <w:r>
              <w:rPr>
                <w:rFonts w:ascii="Arial" w:cs="Arial" w:eastAsia="Arial" w:hAnsi="Arial"/>
                <w:sz w:val="13"/>
                <w:szCs w:val="13"/>
                <w:color w:val="auto"/>
              </w:rPr>
              <w:t>Plus: Asset impairment and other</w:t>
            </w:r>
          </w:p>
        </w:tc>
        <w:tc>
          <w:tcPr>
            <w:tcW w:w="840" w:type="dxa"/>
            <w:vAlign w:val="bottom"/>
          </w:tcPr>
          <w:p>
            <w:pPr>
              <w:spacing w:after="0"/>
              <w:rPr>
                <w:sz w:val="12"/>
                <w:szCs w:val="12"/>
                <w:color w:val="auto"/>
              </w:rPr>
            </w:pPr>
          </w:p>
        </w:tc>
        <w:tc>
          <w:tcPr>
            <w:tcW w:w="6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3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1,097</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w:t>
            </w:r>
          </w:p>
        </w:tc>
      </w:tr>
      <w:tr>
        <w:trPr>
          <w:trHeight w:val="149"/>
        </w:trPr>
        <w:tc>
          <w:tcPr>
            <w:tcW w:w="37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3"/>
                <w:szCs w:val="13"/>
                <w:color w:val="auto"/>
              </w:rPr>
              <w:t>Plus: Workforce restructuring</w:t>
            </w:r>
          </w:p>
        </w:tc>
        <w:tc>
          <w:tcPr>
            <w:tcW w:w="84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1,157</w:t>
            </w:r>
          </w:p>
        </w:tc>
        <w:tc>
          <w:tcPr>
            <w:tcW w:w="10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4,167</w:t>
            </w:r>
          </w:p>
        </w:tc>
        <w:tc>
          <w:tcPr>
            <w:tcW w:w="100" w:type="dxa"/>
            <w:vAlign w:val="bottom"/>
            <w:tcBorders>
              <w:bottom w:val="single" w:sz="8" w:color="CFF0FC"/>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(72%)</w:t>
            </w:r>
          </w:p>
        </w:tc>
        <w:tc>
          <w:tcPr>
            <w:tcW w:w="1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3,932</w:t>
            </w: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7,804</w:t>
            </w:r>
          </w:p>
        </w:tc>
        <w:tc>
          <w:tcPr>
            <w:tcW w:w="12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(50%)</w:t>
            </w:r>
          </w:p>
        </w:tc>
      </w:tr>
      <w:tr>
        <w:trPr>
          <w:trHeight w:val="142"/>
        </w:trPr>
        <w:tc>
          <w:tcPr>
            <w:tcW w:w="3780" w:type="dxa"/>
            <w:vAlign w:val="bottom"/>
          </w:tcPr>
          <w:p>
            <w:pPr>
              <w:spacing w:after="0" w:line="142" w:lineRule="exact"/>
              <w:rPr>
                <w:sz w:val="20"/>
                <w:szCs w:val="20"/>
                <w:color w:val="auto"/>
              </w:rPr>
            </w:pPr>
            <w:r>
              <w:rPr>
                <w:rFonts w:ascii="Arial" w:cs="Arial" w:eastAsia="Arial" w:hAnsi="Arial"/>
                <w:sz w:val="13"/>
                <w:szCs w:val="13"/>
                <w:color w:val="auto"/>
              </w:rPr>
              <w:t>Adjusted operating income (non-GAAP basis)</w:t>
            </w:r>
          </w:p>
        </w:tc>
        <w:tc>
          <w:tcPr>
            <w:tcW w:w="840" w:type="dxa"/>
            <w:vAlign w:val="bottom"/>
          </w:tcPr>
          <w:p>
            <w:pPr>
              <w:spacing w:after="0"/>
              <w:rPr>
                <w:sz w:val="12"/>
                <w:szCs w:val="12"/>
                <w:color w:val="auto"/>
              </w:rPr>
            </w:pPr>
          </w:p>
        </w:tc>
        <w:tc>
          <w:tcPr>
            <w:tcW w:w="620" w:type="dxa"/>
            <w:vAlign w:val="bottom"/>
          </w:tcPr>
          <w:p>
            <w:pPr>
              <w:jc w:val="right"/>
              <w:ind w:right="53"/>
              <w:spacing w:after="0" w:line="142" w:lineRule="exact"/>
              <w:rPr>
                <w:sz w:val="20"/>
                <w:szCs w:val="20"/>
                <w:color w:val="auto"/>
              </w:rPr>
            </w:pPr>
            <w:r>
              <w:rPr>
                <w:rFonts w:ascii="Arial" w:cs="Arial" w:eastAsia="Arial" w:hAnsi="Arial"/>
                <w:sz w:val="13"/>
                <w:szCs w:val="13"/>
                <w:color w:val="auto"/>
              </w:rPr>
              <w:t>106,824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ind w:right="53"/>
              <w:spacing w:after="0" w:line="142" w:lineRule="exact"/>
              <w:rPr>
                <w:sz w:val="20"/>
                <w:szCs w:val="20"/>
                <w:color w:val="auto"/>
              </w:rPr>
            </w:pPr>
            <w:r>
              <w:rPr>
                <w:rFonts w:ascii="Arial" w:cs="Arial" w:eastAsia="Arial" w:hAnsi="Arial"/>
                <w:sz w:val="13"/>
                <w:szCs w:val="13"/>
                <w:color w:val="auto"/>
              </w:rPr>
              <w:t>240,493</w:t>
            </w:r>
          </w:p>
        </w:tc>
        <w:tc>
          <w:tcPr>
            <w:tcW w:w="11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(56%)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53"/>
              <w:spacing w:after="0" w:line="142" w:lineRule="exact"/>
              <w:rPr>
                <w:sz w:val="20"/>
                <w:szCs w:val="20"/>
                <w:color w:val="auto"/>
              </w:rPr>
            </w:pPr>
            <w:r>
              <w:rPr>
                <w:rFonts w:ascii="Arial" w:cs="Arial" w:eastAsia="Arial" w:hAnsi="Arial"/>
                <w:sz w:val="13"/>
                <w:szCs w:val="13"/>
                <w:color w:val="auto"/>
              </w:rPr>
              <w:t>345,074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53"/>
              <w:spacing w:after="0" w:line="142" w:lineRule="exact"/>
              <w:rPr>
                <w:sz w:val="20"/>
                <w:szCs w:val="20"/>
                <w:color w:val="auto"/>
              </w:rPr>
            </w:pPr>
            <w:r>
              <w:rPr>
                <w:rFonts w:ascii="Arial" w:cs="Arial" w:eastAsia="Arial" w:hAnsi="Arial"/>
                <w:sz w:val="13"/>
                <w:szCs w:val="13"/>
                <w:color w:val="auto"/>
              </w:rPr>
              <w:t>533,601</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(35%)</w:t>
            </w:r>
          </w:p>
        </w:tc>
      </w:tr>
      <w:tr>
        <w:trPr>
          <w:trHeight w:val="148"/>
        </w:trPr>
        <w:tc>
          <w:tcPr>
            <w:tcW w:w="3780" w:type="dxa"/>
            <w:vAlign w:val="bottom"/>
            <w:shd w:val="clear" w:color="auto" w:fill="CFF0FC"/>
          </w:tcPr>
          <w:p>
            <w:pPr>
              <w:ind w:left="80"/>
              <w:spacing w:after="0"/>
              <w:rPr>
                <w:sz w:val="20"/>
                <w:szCs w:val="20"/>
                <w:color w:val="auto"/>
              </w:rPr>
            </w:pPr>
            <w:r>
              <w:rPr>
                <w:rFonts w:ascii="Arial" w:cs="Arial" w:eastAsia="Arial" w:hAnsi="Arial"/>
                <w:sz w:val="13"/>
                <w:szCs w:val="13"/>
                <w:color w:val="auto"/>
              </w:rPr>
              <w:t>Plus: Depreciation</w:t>
            </w:r>
          </w:p>
        </w:tc>
        <w:tc>
          <w:tcPr>
            <w:tcW w:w="84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14,997</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15,543</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46,272</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45,026</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r>
      <w:tr>
        <w:trPr>
          <w:trHeight w:val="148"/>
        </w:trPr>
        <w:tc>
          <w:tcPr>
            <w:tcW w:w="378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Plus: Amortization of intangible assets</w:t>
            </w:r>
          </w:p>
        </w:tc>
        <w:tc>
          <w:tcPr>
            <w:tcW w:w="8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8,831</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13,467</w:t>
            </w:r>
          </w:p>
        </w:tc>
        <w:tc>
          <w:tcPr>
            <w:tcW w:w="100" w:type="dxa"/>
            <w:vAlign w:val="bottom"/>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26,516</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40,790</w:t>
            </w: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w:t>
            </w:r>
          </w:p>
        </w:tc>
      </w:tr>
      <w:tr>
        <w:trPr>
          <w:trHeight w:val="142"/>
        </w:trPr>
        <w:tc>
          <w:tcPr>
            <w:tcW w:w="37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Adjusted EBITDA</w:t>
            </w:r>
          </w:p>
        </w:tc>
        <w:tc>
          <w:tcPr>
            <w:tcW w:w="840" w:type="dxa"/>
            <w:vAlign w:val="bottom"/>
            <w:shd w:val="clear" w:color="auto" w:fill="CFF0FC"/>
          </w:tcPr>
          <w:p>
            <w:pPr>
              <w:jc w:val="right"/>
              <w:ind w:right="693"/>
              <w:spacing w:after="0" w:line="142" w:lineRule="exact"/>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ind w:right="53"/>
              <w:spacing w:after="0" w:line="142" w:lineRule="exact"/>
              <w:rPr>
                <w:sz w:val="20"/>
                <w:szCs w:val="20"/>
                <w:color w:val="auto"/>
              </w:rPr>
            </w:pPr>
            <w:r>
              <w:rPr>
                <w:rFonts w:ascii="Arial" w:cs="Arial" w:eastAsia="Arial" w:hAnsi="Arial"/>
                <w:sz w:val="13"/>
                <w:szCs w:val="13"/>
                <w:color w:val="auto"/>
              </w:rPr>
              <w:t>130,652</w:t>
            </w:r>
          </w:p>
        </w:tc>
        <w:tc>
          <w:tcPr>
            <w:tcW w:w="340" w:type="dxa"/>
            <w:vAlign w:val="bottom"/>
            <w:gridSpan w:val="2"/>
            <w:shd w:val="clear" w:color="auto" w:fill="CFF0FC"/>
          </w:tcPr>
          <w:p>
            <w:pPr>
              <w:jc w:val="right"/>
              <w:ind w:right="93"/>
              <w:spacing w:after="0" w:line="142" w:lineRule="exact"/>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ind w:right="53"/>
              <w:spacing w:after="0" w:line="142" w:lineRule="exact"/>
              <w:rPr>
                <w:sz w:val="20"/>
                <w:szCs w:val="20"/>
                <w:color w:val="auto"/>
              </w:rPr>
            </w:pPr>
            <w:r>
              <w:rPr>
                <w:rFonts w:ascii="Arial" w:cs="Arial" w:eastAsia="Arial" w:hAnsi="Arial"/>
                <w:sz w:val="13"/>
                <w:szCs w:val="13"/>
                <w:color w:val="auto"/>
              </w:rPr>
              <w:t>269,503</w:t>
            </w:r>
          </w:p>
        </w:tc>
        <w:tc>
          <w:tcPr>
            <w:tcW w:w="1140" w:type="dxa"/>
            <w:vAlign w:val="bottom"/>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(52%)</w:t>
            </w:r>
          </w:p>
        </w:tc>
        <w:tc>
          <w:tcPr>
            <w:tcW w:w="320" w:type="dxa"/>
            <w:vAlign w:val="bottom"/>
            <w:gridSpan w:val="2"/>
            <w:shd w:val="clear" w:color="auto" w:fill="CFF0FC"/>
          </w:tcPr>
          <w:p>
            <w:pPr>
              <w:jc w:val="right"/>
              <w:ind w:right="140"/>
              <w:spacing w:after="0" w:line="142" w:lineRule="exact"/>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ind w:right="53"/>
              <w:spacing w:after="0" w:line="142" w:lineRule="exact"/>
              <w:rPr>
                <w:sz w:val="20"/>
                <w:szCs w:val="20"/>
                <w:color w:val="auto"/>
              </w:rPr>
            </w:pPr>
            <w:r>
              <w:rPr>
                <w:rFonts w:ascii="Arial" w:cs="Arial" w:eastAsia="Arial" w:hAnsi="Arial"/>
                <w:sz w:val="13"/>
                <w:szCs w:val="13"/>
                <w:color w:val="auto"/>
              </w:rPr>
              <w:t>417,862</w:t>
            </w:r>
          </w:p>
        </w:tc>
        <w:tc>
          <w:tcPr>
            <w:tcW w:w="280" w:type="dxa"/>
            <w:vAlign w:val="bottom"/>
            <w:gridSpan w:val="2"/>
            <w:shd w:val="clear" w:color="auto" w:fill="CFF0FC"/>
          </w:tcPr>
          <w:p>
            <w:pPr>
              <w:jc w:val="right"/>
              <w:ind w:right="100"/>
              <w:spacing w:after="0" w:line="142" w:lineRule="exact"/>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ind w:right="53"/>
              <w:spacing w:after="0" w:line="142" w:lineRule="exact"/>
              <w:rPr>
                <w:sz w:val="20"/>
                <w:szCs w:val="20"/>
                <w:color w:val="auto"/>
              </w:rPr>
            </w:pPr>
            <w:r>
              <w:rPr>
                <w:rFonts w:ascii="Arial" w:cs="Arial" w:eastAsia="Arial" w:hAnsi="Arial"/>
                <w:sz w:val="13"/>
                <w:szCs w:val="13"/>
                <w:color w:val="auto"/>
              </w:rPr>
              <w:t>619,417</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(33%)</w:t>
            </w:r>
          </w:p>
        </w:tc>
      </w:tr>
      <w:tr>
        <w:trPr>
          <w:trHeight w:val="148"/>
        </w:trPr>
        <w:tc>
          <w:tcPr>
            <w:tcW w:w="3780" w:type="dxa"/>
            <w:vAlign w:val="bottom"/>
          </w:tcPr>
          <w:p>
            <w:pPr>
              <w:spacing w:after="0"/>
              <w:rPr>
                <w:sz w:val="20"/>
                <w:szCs w:val="20"/>
                <w:color w:val="auto"/>
              </w:rPr>
            </w:pPr>
            <w:r>
              <w:rPr>
                <w:rFonts w:ascii="Arial" w:cs="Arial" w:eastAsia="Arial" w:hAnsi="Arial"/>
                <w:sz w:val="13"/>
                <w:szCs w:val="13"/>
                <w:color w:val="auto"/>
              </w:rPr>
              <w:t>Stock-based compensation expenses:</w:t>
            </w: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3780" w:type="dxa"/>
            <w:vAlign w:val="bottom"/>
            <w:shd w:val="clear" w:color="auto" w:fill="CFF0FC"/>
          </w:tcPr>
          <w:p>
            <w:pPr>
              <w:ind w:left="80"/>
              <w:spacing w:after="0"/>
              <w:rPr>
                <w:sz w:val="20"/>
                <w:szCs w:val="20"/>
                <w:color w:val="auto"/>
              </w:rPr>
            </w:pPr>
            <w:r>
              <w:rPr>
                <w:rFonts w:ascii="Arial" w:cs="Arial" w:eastAsia="Arial" w:hAnsi="Arial"/>
                <w:sz w:val="13"/>
                <w:szCs w:val="13"/>
                <w:color w:val="auto"/>
              </w:rPr>
              <w:t>Employee awards</w:t>
            </w:r>
          </w:p>
        </w:tc>
        <w:tc>
          <w:tcPr>
            <w:tcW w:w="84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7,455</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6,546</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18,896</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21,526</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w:t>
            </w:r>
          </w:p>
        </w:tc>
      </w:tr>
      <w:tr>
        <w:trPr>
          <w:trHeight w:val="148"/>
        </w:trPr>
        <w:tc>
          <w:tcPr>
            <w:tcW w:w="378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Company stock 401(k) match contributions</w:t>
            </w:r>
          </w:p>
        </w:tc>
        <w:tc>
          <w:tcPr>
            <w:tcW w:w="8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4,024</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4,035</w:t>
            </w:r>
          </w:p>
        </w:tc>
        <w:tc>
          <w:tcPr>
            <w:tcW w:w="100" w:type="dxa"/>
            <w:vAlign w:val="bottom"/>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12,673</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14,251</w:t>
            </w: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r>
      <w:tr>
        <w:trPr>
          <w:trHeight w:val="162"/>
        </w:trPr>
        <w:tc>
          <w:tcPr>
            <w:tcW w:w="37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Adjusted EBITDA before stock-based compensation costs</w:t>
            </w:r>
          </w:p>
        </w:tc>
        <w:tc>
          <w:tcPr>
            <w:tcW w:w="840" w:type="dxa"/>
            <w:vAlign w:val="bottom"/>
            <w:shd w:val="clear" w:color="auto" w:fill="CFF0FC"/>
          </w:tcPr>
          <w:p>
            <w:pPr>
              <w:jc w:val="right"/>
              <w:ind w:right="693"/>
              <w:spacing w:after="0" w:line="142" w:lineRule="exact"/>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ind w:right="53"/>
              <w:spacing w:after="0" w:line="142" w:lineRule="exact"/>
              <w:rPr>
                <w:sz w:val="20"/>
                <w:szCs w:val="20"/>
                <w:color w:val="auto"/>
              </w:rPr>
            </w:pPr>
            <w:r>
              <w:rPr>
                <w:rFonts w:ascii="Arial" w:cs="Arial" w:eastAsia="Arial" w:hAnsi="Arial"/>
                <w:sz w:val="13"/>
                <w:szCs w:val="13"/>
                <w:color w:val="auto"/>
              </w:rPr>
              <w:t>142,131</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93"/>
              <w:spacing w:after="0" w:line="142" w:lineRule="exact"/>
              <w:rPr>
                <w:sz w:val="20"/>
                <w:szCs w:val="20"/>
                <w:color w:val="auto"/>
              </w:rPr>
            </w:pPr>
            <w:r>
              <w:rPr>
                <w:rFonts w:ascii="Arial" w:cs="Arial" w:eastAsia="Arial" w:hAnsi="Arial"/>
                <w:sz w:val="13"/>
                <w:szCs w:val="13"/>
                <w:color w:val="auto"/>
                <w:w w:val="82"/>
              </w:rPr>
              <w:t>$</w:t>
            </w:r>
          </w:p>
        </w:tc>
        <w:tc>
          <w:tcPr>
            <w:tcW w:w="980" w:type="dxa"/>
            <w:vAlign w:val="bottom"/>
            <w:shd w:val="clear" w:color="auto" w:fill="CFF0FC"/>
          </w:tcPr>
          <w:p>
            <w:pPr>
              <w:jc w:val="right"/>
              <w:ind w:right="53"/>
              <w:spacing w:after="0" w:line="142" w:lineRule="exact"/>
              <w:rPr>
                <w:sz w:val="20"/>
                <w:szCs w:val="20"/>
                <w:color w:val="auto"/>
              </w:rPr>
            </w:pPr>
            <w:r>
              <w:rPr>
                <w:rFonts w:ascii="Arial" w:cs="Arial" w:eastAsia="Arial" w:hAnsi="Arial"/>
                <w:sz w:val="13"/>
                <w:szCs w:val="13"/>
                <w:color w:val="auto"/>
              </w:rPr>
              <w:t>280,084</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(49%)</w:t>
            </w:r>
          </w:p>
        </w:tc>
        <w:tc>
          <w:tcPr>
            <w:tcW w:w="320" w:type="dxa"/>
            <w:vAlign w:val="bottom"/>
            <w:gridSpan w:val="2"/>
            <w:shd w:val="clear" w:color="auto" w:fill="CFF0FC"/>
          </w:tcPr>
          <w:p>
            <w:pPr>
              <w:jc w:val="right"/>
              <w:ind w:right="140"/>
              <w:spacing w:after="0" w:line="142" w:lineRule="exact"/>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ind w:right="53"/>
              <w:spacing w:after="0" w:line="142" w:lineRule="exact"/>
              <w:rPr>
                <w:sz w:val="20"/>
                <w:szCs w:val="20"/>
                <w:color w:val="auto"/>
              </w:rPr>
            </w:pPr>
            <w:r>
              <w:rPr>
                <w:rFonts w:ascii="Arial" w:cs="Arial" w:eastAsia="Arial" w:hAnsi="Arial"/>
                <w:sz w:val="13"/>
                <w:szCs w:val="13"/>
                <w:color w:val="auto"/>
              </w:rPr>
              <w:t>449,431</w:t>
            </w:r>
          </w:p>
        </w:tc>
        <w:tc>
          <w:tcPr>
            <w:tcW w:w="280" w:type="dxa"/>
            <w:vAlign w:val="bottom"/>
            <w:gridSpan w:val="2"/>
            <w:shd w:val="clear" w:color="auto" w:fill="CFF0FC"/>
          </w:tcPr>
          <w:p>
            <w:pPr>
              <w:jc w:val="right"/>
              <w:ind w:right="100"/>
              <w:spacing w:after="0" w:line="142" w:lineRule="exact"/>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ind w:right="53"/>
              <w:spacing w:after="0" w:line="142" w:lineRule="exact"/>
              <w:rPr>
                <w:sz w:val="20"/>
                <w:szCs w:val="20"/>
                <w:color w:val="auto"/>
              </w:rPr>
            </w:pPr>
            <w:r>
              <w:rPr>
                <w:rFonts w:ascii="Arial" w:cs="Arial" w:eastAsia="Arial" w:hAnsi="Arial"/>
                <w:sz w:val="13"/>
                <w:szCs w:val="13"/>
                <w:color w:val="auto"/>
              </w:rPr>
              <w:t>655,194</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(31%)</w:t>
            </w:r>
          </w:p>
        </w:tc>
      </w:tr>
      <w:tr>
        <w:trPr>
          <w:trHeight w:val="20"/>
        </w:trPr>
        <w:tc>
          <w:tcPr>
            <w:tcW w:w="37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-805180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-805180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-805180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-805180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-805180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Not meaningful</w:t>
      </w:r>
    </w:p>
    <w:p>
      <w:pPr>
        <w:spacing w:after="0" w:line="212" w:lineRule="exact"/>
        <w:rPr>
          <w:sz w:val="20"/>
          <w:szCs w:val="20"/>
          <w:color w:val="auto"/>
        </w:rPr>
      </w:pPr>
    </w:p>
    <w:p>
      <w:pPr>
        <w:ind w:right="120" w:firstLine="374"/>
        <w:spacing w:after="0" w:line="256" w:lineRule="auto"/>
        <w:rPr>
          <w:sz w:val="20"/>
          <w:szCs w:val="20"/>
          <w:color w:val="auto"/>
        </w:rPr>
      </w:pPr>
      <w:r>
        <w:rPr>
          <w:rFonts w:ascii="Arial" w:cs="Arial" w:eastAsia="Arial" w:hAnsi="Arial"/>
          <w:sz w:val="16"/>
          <w:szCs w:val="16"/>
          <w:color w:val="auto"/>
        </w:rPr>
        <w:t>In the third quarter of 2025 Adjusted EBITDA margin was 20% with stock-based compensation expense or 22% without those expenses. For the nine months ended September 30, 2025, Adjusted EBITDA margin was 21% with stock-based compensation expense or 22% without those expenses. Our total Adjusted EBITDA decreased $138.9 million, or 52%, in the third quarter of 2025 and $201.6 million, or 33% in the first nine months of 2025, compared to 2024. These decreases were primarily driven by the operational factors discussed above within the revenue and operating expense fluctuation explanation sections, most notably, the decreases in political revenue and AMS revenue and the decrease in operating expenses.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Capital Resources and Cash Flows</w:t>
      </w:r>
    </w:p>
    <w:p>
      <w:pPr>
        <w:spacing w:after="0" w:line="194" w:lineRule="exact"/>
        <w:rPr>
          <w:sz w:val="20"/>
          <w:szCs w:val="20"/>
          <w:color w:val="auto"/>
        </w:rPr>
      </w:pPr>
    </w:p>
    <w:p>
      <w:pPr>
        <w:jc w:val="both"/>
        <w:ind w:right="160" w:firstLine="374"/>
        <w:spacing w:after="0" w:line="266" w:lineRule="auto"/>
        <w:rPr>
          <w:sz w:val="20"/>
          <w:szCs w:val="20"/>
          <w:color w:val="auto"/>
        </w:rPr>
      </w:pPr>
      <w:r>
        <w:rPr>
          <w:rFonts w:ascii="Arial" w:cs="Arial" w:eastAsia="Arial" w:hAnsi="Arial"/>
          <w:sz w:val="16"/>
          <w:szCs w:val="16"/>
          <w:color w:val="auto"/>
        </w:rPr>
        <w:t>Our operations generate positive cash flow that, along with availability under our revolving credit facility and cash and cash equivalents on hand, have been sufficient to fund our capital expenditures, interest payments, dividends, share repurchases, debt repayments, investments in strategic initiatives and other operating requirements.</w:t>
      </w:r>
    </w:p>
    <w:p>
      <w:pPr>
        <w:spacing w:after="0" w:line="144" w:lineRule="exact"/>
        <w:rPr>
          <w:sz w:val="20"/>
          <w:szCs w:val="20"/>
          <w:color w:val="auto"/>
        </w:rPr>
      </w:pPr>
    </w:p>
    <w:p>
      <w:pPr>
        <w:jc w:val="both"/>
        <w:ind w:right="160" w:firstLine="374"/>
        <w:spacing w:after="0" w:line="266" w:lineRule="auto"/>
        <w:rPr>
          <w:sz w:val="20"/>
          <w:szCs w:val="20"/>
          <w:color w:val="auto"/>
        </w:rPr>
      </w:pPr>
      <w:r>
        <w:rPr>
          <w:rFonts w:ascii="Arial" w:cs="Arial" w:eastAsia="Arial" w:hAnsi="Arial"/>
          <w:sz w:val="16"/>
          <w:szCs w:val="16"/>
          <w:color w:val="auto"/>
        </w:rPr>
        <w:t>In December 2023, our Board of Directors authorized a share repurchase program for up to $650.0 million of our common stock. As of September 30, 2025, $375.2 million of common shares may still be repurchased under this program. This share repurchase program expires on December 31, 2025. The Merger Agreement requires that we suspend share repurchases under this program during the pendency of the Merger.</w:t>
      </w:r>
    </w:p>
    <w:p>
      <w:pPr>
        <w:spacing w:after="0" w:line="117" w:lineRule="exact"/>
        <w:rPr>
          <w:sz w:val="20"/>
          <w:szCs w:val="20"/>
          <w:color w:val="auto"/>
        </w:rPr>
      </w:pPr>
    </w:p>
    <w:p>
      <w:pPr>
        <w:ind w:right="120" w:firstLine="374"/>
        <w:spacing w:after="0" w:line="266" w:lineRule="auto"/>
        <w:rPr>
          <w:sz w:val="20"/>
          <w:szCs w:val="20"/>
          <w:color w:val="auto"/>
        </w:rPr>
      </w:pPr>
      <w:r>
        <w:rPr>
          <w:rFonts w:ascii="Arial" w:cs="Arial" w:eastAsia="Arial" w:hAnsi="Arial"/>
          <w:sz w:val="16"/>
          <w:szCs w:val="16"/>
          <w:color w:val="auto"/>
        </w:rPr>
        <w:t>During the first nine months of 2025, we returned $60.3 million of capital to shareholders in the form of dividends. During the first nine months of 2024, we returned $286.4 million of capital to shareholders with $225.0 million of share repurchases, representing 15.7 million shares, and paid $61.4 million in dividends.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During 2025, we have deployed surplus cash in time deposit and money market investments with several financial institutions.</w:t>
      </w:r>
    </w:p>
    <w:p>
      <w:pPr>
        <w:spacing w:after="0" w:line="194" w:lineRule="exact"/>
        <w:rPr>
          <w:sz w:val="20"/>
          <w:szCs w:val="20"/>
          <w:color w:val="auto"/>
        </w:rPr>
      </w:pPr>
    </w:p>
    <w:p>
      <w:pPr>
        <w:ind w:firstLine="374"/>
        <w:spacing w:after="0" w:line="253" w:lineRule="auto"/>
        <w:rPr>
          <w:sz w:val="20"/>
          <w:szCs w:val="20"/>
          <w:color w:val="auto"/>
        </w:rPr>
      </w:pPr>
      <w:r>
        <w:rPr>
          <w:rFonts w:ascii="Arial" w:cs="Arial" w:eastAsia="Arial" w:hAnsi="Arial"/>
          <w:sz w:val="16"/>
          <w:szCs w:val="16"/>
          <w:color w:val="auto"/>
        </w:rPr>
        <w:t>As of September 30, 2025, we were in compliance with all covenants contained in our debt agreements and credit facility. Our leverage ratio, calculated in accordance with our revolving Credit Agreement, was 2.82x, below the maximum permitted leverage ratio of 4.50x. The leverage ratio is calculated using annualized adjusted EBITDA (as defined in the Credit Agreement) for the trailing eight quarters. We expect to remain compliant with all covenants for the foreseeable future. As of September 30, 2025, our total debt was $2.5 billion, cash and cash equivalents totaled $232.8 million, and we had unused borrowing capacity of $738.2 million under our revolving credit facility after reducing for outstanding letters of credit. Our debt consists of unsecured notes, which have fixed interest rates. In the third quarter of 2025 we repaid $550 million notes which were due March 2026 using available cash on hand. Our nearest debt maturity is now $200 million of notes which are due in June 2027.</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5" w:name="page26"/>
    <w:bookmarkEnd w:id="25"/>
    <w:p>
      <w:pPr>
        <w:ind w:right="80" w:firstLine="374"/>
        <w:spacing w:after="0" w:line="256" w:lineRule="auto"/>
        <w:rPr>
          <w:sz w:val="20"/>
          <w:szCs w:val="20"/>
          <w:color w:val="auto"/>
        </w:rPr>
      </w:pPr>
      <w:r>
        <w:rPr>
          <w:rFonts w:ascii="Arial" w:cs="Arial" w:eastAsia="Arial" w:hAnsi="Arial"/>
          <w:sz w:val="16"/>
          <w:szCs w:val="16"/>
          <w:color w:val="auto"/>
        </w:rPr>
        <w:t>Our financial and operating performance, as well as our ability to generate sufficient cash flow to maintain compliance with credit facility covenants, are subject to certain risk factors. See Part II, Item 1A. “Risk Factors” in this Quarterly Report on Form 10-Q and Item 1.A “Risk Factors,” in our 2024 Annual Report on Form 10-K for further discussion. We expect our existing cash and cash equivalents, expected future cash flow from our operations, and borrowing capacity under the revolving credit facility will be more than sufficient to satisfy our recurring contractual commitments, debt service obligations, capital expenditure requirements, and other working capital needs for the next twelve months and beyond.</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provides a summary of our cash flow information followed by a discussion of the key elements of our cash flow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Nine months ended Sept. 30,</w:t>
            </w:r>
          </w:p>
        </w:tc>
      </w:tr>
      <w:tr>
        <w:trPr>
          <w:trHeight w:val="183"/>
        </w:trPr>
        <w:tc>
          <w:tcPr>
            <w:tcW w:w="7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59"/>
              <w:spacing w:after="0" w:line="183" w:lineRule="exact"/>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39"/>
              <w:spacing w:after="0" w:line="183" w:lineRule="exact"/>
              <w:rPr>
                <w:sz w:val="20"/>
                <w:szCs w:val="20"/>
                <w:color w:val="auto"/>
              </w:rPr>
            </w:pPr>
            <w:r>
              <w:rPr>
                <w:rFonts w:ascii="Arial" w:cs="Arial" w:eastAsia="Arial" w:hAnsi="Arial"/>
                <w:sz w:val="16"/>
                <w:szCs w:val="16"/>
                <w:b w:val="1"/>
                <w:bCs w:val="1"/>
                <w:color w:val="auto"/>
              </w:rPr>
              <w:t>2024</w:t>
            </w:r>
          </w:p>
        </w:tc>
      </w:tr>
      <w:tr>
        <w:trPr>
          <w:trHeight w:val="183"/>
        </w:trPr>
        <w:tc>
          <w:tcPr>
            <w:tcW w:w="7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9"/>
        </w:trPr>
        <w:tc>
          <w:tcPr>
            <w:tcW w:w="720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at beginning of the period</w:t>
            </w:r>
          </w:p>
        </w:tc>
        <w:tc>
          <w:tcPr>
            <w:tcW w:w="7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693,214</w:t>
            </w: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361,036</w:t>
            </w:r>
          </w:p>
        </w:tc>
      </w:tr>
      <w:tr>
        <w:trPr>
          <w:trHeight w:val="378"/>
        </w:trPr>
        <w:tc>
          <w:tcPr>
            <w:tcW w:w="7200" w:type="dxa"/>
            <w:vAlign w:val="bottom"/>
          </w:tcPr>
          <w:p>
            <w:pPr>
              <w:spacing w:after="0"/>
              <w:rPr>
                <w:sz w:val="20"/>
                <w:szCs w:val="20"/>
                <w:color w:val="auto"/>
              </w:rPr>
            </w:pPr>
            <w:r>
              <w:rPr>
                <w:rFonts w:ascii="Arial" w:cs="Arial" w:eastAsia="Arial" w:hAnsi="Arial"/>
                <w:sz w:val="16"/>
                <w:szCs w:val="16"/>
                <w:color w:val="auto"/>
              </w:rPr>
              <w:t>Operating activities:</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9"/>
        </w:trPr>
        <w:tc>
          <w:tcPr>
            <w:tcW w:w="72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income</w:t>
            </w:r>
          </w:p>
        </w:tc>
        <w:tc>
          <w:tcPr>
            <w:tcW w:w="4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163,325</w:t>
            </w: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418,479</w:t>
            </w:r>
          </w:p>
        </w:tc>
      </w:tr>
      <w:tr>
        <w:trPr>
          <w:trHeight w:val="189"/>
        </w:trPr>
        <w:tc>
          <w:tcPr>
            <w:tcW w:w="7200" w:type="dxa"/>
            <w:vAlign w:val="bottom"/>
          </w:tcPr>
          <w:p>
            <w:pPr>
              <w:ind w:left="140"/>
              <w:spacing w:after="0"/>
              <w:rPr>
                <w:sz w:val="20"/>
                <w:szCs w:val="20"/>
                <w:color w:val="auto"/>
              </w:rPr>
            </w:pPr>
            <w:r>
              <w:rPr>
                <w:rFonts w:ascii="Arial" w:cs="Arial" w:eastAsia="Arial" w:hAnsi="Arial"/>
                <w:sz w:val="16"/>
                <w:szCs w:val="16"/>
                <w:color w:val="auto"/>
              </w:rPr>
              <w:t>Gain on investment sales</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(153,626)</w:t>
            </w:r>
          </w:p>
        </w:tc>
      </w:tr>
      <w:tr>
        <w:trPr>
          <w:trHeight w:val="189"/>
        </w:trPr>
        <w:tc>
          <w:tcPr>
            <w:tcW w:w="72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Depreciation, amortization and other non-cash adjustments</w:t>
            </w:r>
          </w:p>
        </w:tc>
        <w:tc>
          <w:tcPr>
            <w:tcW w:w="4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105,991</w:t>
            </w: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130,727</w:t>
            </w:r>
          </w:p>
        </w:tc>
      </w:tr>
      <w:tr>
        <w:trPr>
          <w:trHeight w:val="189"/>
        </w:trPr>
        <w:tc>
          <w:tcPr>
            <w:tcW w:w="7200" w:type="dxa"/>
            <w:vAlign w:val="bottom"/>
          </w:tcPr>
          <w:p>
            <w:pPr>
              <w:ind w:left="140"/>
              <w:spacing w:after="0"/>
              <w:rPr>
                <w:sz w:val="20"/>
                <w:szCs w:val="20"/>
                <w:color w:val="auto"/>
              </w:rPr>
            </w:pPr>
            <w:r>
              <w:rPr>
                <w:rFonts w:ascii="Arial" w:cs="Arial" w:eastAsia="Arial" w:hAnsi="Arial"/>
                <w:sz w:val="16"/>
                <w:szCs w:val="16"/>
                <w:color w:val="auto"/>
              </w:rPr>
              <w:t>Pension expense, net of employer contributions</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828</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(1,530)</w:t>
            </w:r>
          </w:p>
        </w:tc>
      </w:tr>
      <w:tr>
        <w:trPr>
          <w:trHeight w:val="189"/>
        </w:trPr>
        <w:tc>
          <w:tcPr>
            <w:tcW w:w="72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Decrease in trade receivables</w:t>
            </w:r>
          </w:p>
        </w:tc>
        <w:tc>
          <w:tcPr>
            <w:tcW w:w="4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26,119</w:t>
            </w: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16,931</w:t>
            </w:r>
          </w:p>
        </w:tc>
      </w:tr>
      <w:tr>
        <w:trPr>
          <w:trHeight w:val="189"/>
        </w:trPr>
        <w:tc>
          <w:tcPr>
            <w:tcW w:w="7200" w:type="dxa"/>
            <w:vAlign w:val="bottom"/>
          </w:tcPr>
          <w:p>
            <w:pPr>
              <w:ind w:left="140"/>
              <w:spacing w:after="0"/>
              <w:rPr>
                <w:sz w:val="20"/>
                <w:szCs w:val="20"/>
                <w:color w:val="auto"/>
              </w:rPr>
            </w:pPr>
            <w:r>
              <w:rPr>
                <w:rFonts w:ascii="Arial" w:cs="Arial" w:eastAsia="Arial" w:hAnsi="Arial"/>
                <w:sz w:val="16"/>
                <w:szCs w:val="16"/>
                <w:color w:val="auto"/>
              </w:rPr>
              <w:t>Decrease in accounts payable</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(3,721)</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(22,987)</w:t>
            </w:r>
          </w:p>
        </w:tc>
      </w:tr>
      <w:tr>
        <w:trPr>
          <w:trHeight w:val="189"/>
        </w:trPr>
        <w:tc>
          <w:tcPr>
            <w:tcW w:w="72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(Decrease) increase in interest and taxes payable</w:t>
            </w:r>
          </w:p>
        </w:tc>
        <w:tc>
          <w:tcPr>
            <w:tcW w:w="4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(91,643)</w:t>
            </w: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13,766</w:t>
            </w:r>
          </w:p>
        </w:tc>
      </w:tr>
      <w:tr>
        <w:trPr>
          <w:trHeight w:val="189"/>
        </w:trPr>
        <w:tc>
          <w:tcPr>
            <w:tcW w:w="72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All other operating activities</w:t>
            </w:r>
          </w:p>
        </w:tc>
        <w:tc>
          <w:tcPr>
            <w:tcW w:w="4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17,726</w:t>
            </w: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33,456</w:t>
            </w:r>
          </w:p>
        </w:tc>
      </w:tr>
      <w:tr>
        <w:trPr>
          <w:trHeight w:val="183"/>
        </w:trPr>
        <w:tc>
          <w:tcPr>
            <w:tcW w:w="72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cash flow from operating activities</w:t>
            </w:r>
          </w:p>
        </w:tc>
        <w:tc>
          <w:tcPr>
            <w:tcW w:w="4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218,625</w:t>
            </w: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435,216</w:t>
            </w:r>
          </w:p>
        </w:tc>
      </w:tr>
      <w:tr>
        <w:trPr>
          <w:trHeight w:val="378"/>
        </w:trPr>
        <w:tc>
          <w:tcPr>
            <w:tcW w:w="7200" w:type="dxa"/>
            <w:vAlign w:val="bottom"/>
          </w:tcPr>
          <w:p>
            <w:pPr>
              <w:spacing w:after="0"/>
              <w:rPr>
                <w:sz w:val="20"/>
                <w:szCs w:val="20"/>
                <w:color w:val="auto"/>
              </w:rPr>
            </w:pPr>
            <w:r>
              <w:rPr>
                <w:rFonts w:ascii="Arial" w:cs="Arial" w:eastAsia="Arial" w:hAnsi="Arial"/>
                <w:sz w:val="16"/>
                <w:szCs w:val="16"/>
                <w:color w:val="auto"/>
              </w:rPr>
              <w:t>Investing activities:</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9"/>
        </w:trPr>
        <w:tc>
          <w:tcPr>
            <w:tcW w:w="72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Purchase of property and equipment</w:t>
            </w:r>
          </w:p>
        </w:tc>
        <w:tc>
          <w:tcPr>
            <w:tcW w:w="4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(22,810)</w:t>
            </w: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(36,297)</w:t>
            </w:r>
          </w:p>
        </w:tc>
      </w:tr>
      <w:tr>
        <w:trPr>
          <w:trHeight w:val="189"/>
        </w:trPr>
        <w:tc>
          <w:tcPr>
            <w:tcW w:w="7200" w:type="dxa"/>
            <w:vAlign w:val="bottom"/>
          </w:tcPr>
          <w:p>
            <w:pPr>
              <w:ind w:left="140"/>
              <w:spacing w:after="0"/>
              <w:rPr>
                <w:sz w:val="20"/>
                <w:szCs w:val="20"/>
                <w:color w:val="auto"/>
              </w:rPr>
            </w:pPr>
            <w:r>
              <w:rPr>
                <w:rFonts w:ascii="Arial" w:cs="Arial" w:eastAsia="Arial" w:hAnsi="Arial"/>
                <w:sz w:val="16"/>
                <w:szCs w:val="16"/>
                <w:color w:val="auto"/>
              </w:rPr>
              <w:t>Proceeds from investments</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2,149</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157,365</w:t>
            </w:r>
          </w:p>
        </w:tc>
      </w:tr>
      <w:tr>
        <w:trPr>
          <w:trHeight w:val="189"/>
        </w:trPr>
        <w:tc>
          <w:tcPr>
            <w:tcW w:w="72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Payments for acquisitions of businesses and assets, net of cash acquired</w:t>
            </w:r>
          </w:p>
        </w:tc>
        <w:tc>
          <w:tcPr>
            <w:tcW w:w="4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(1,745)</w:t>
            </w: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(52,799)</w:t>
            </w:r>
          </w:p>
        </w:tc>
      </w:tr>
      <w:tr>
        <w:trPr>
          <w:trHeight w:val="189"/>
        </w:trPr>
        <w:tc>
          <w:tcPr>
            <w:tcW w:w="72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All other investing activities</w:t>
            </w:r>
          </w:p>
        </w:tc>
        <w:tc>
          <w:tcPr>
            <w:tcW w:w="4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(2,301)</w:t>
            </w: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(19,162)</w:t>
            </w:r>
          </w:p>
        </w:tc>
      </w:tr>
      <w:tr>
        <w:trPr>
          <w:trHeight w:val="183"/>
        </w:trPr>
        <w:tc>
          <w:tcPr>
            <w:tcW w:w="72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cash flow (used for) provided by investing activities</w:t>
            </w:r>
          </w:p>
        </w:tc>
        <w:tc>
          <w:tcPr>
            <w:tcW w:w="4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(24,707)</w:t>
            </w: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49,107</w:t>
            </w:r>
          </w:p>
        </w:tc>
      </w:tr>
      <w:tr>
        <w:trPr>
          <w:trHeight w:val="378"/>
        </w:trPr>
        <w:tc>
          <w:tcPr>
            <w:tcW w:w="7200" w:type="dxa"/>
            <w:vAlign w:val="bottom"/>
          </w:tcPr>
          <w:p>
            <w:pPr>
              <w:spacing w:after="0"/>
              <w:rPr>
                <w:sz w:val="20"/>
                <w:szCs w:val="20"/>
                <w:color w:val="auto"/>
              </w:rPr>
            </w:pPr>
            <w:r>
              <w:rPr>
                <w:rFonts w:ascii="Arial" w:cs="Arial" w:eastAsia="Arial" w:hAnsi="Arial"/>
                <w:sz w:val="16"/>
                <w:szCs w:val="16"/>
                <w:color w:val="auto"/>
              </w:rPr>
              <w:t>Financing activities:</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9"/>
        </w:trPr>
        <w:tc>
          <w:tcPr>
            <w:tcW w:w="72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Debt repayment</w:t>
            </w:r>
          </w:p>
        </w:tc>
        <w:tc>
          <w:tcPr>
            <w:tcW w:w="4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(550,000)</w:t>
            </w: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7200" w:type="dxa"/>
            <w:vAlign w:val="bottom"/>
          </w:tcPr>
          <w:p>
            <w:pPr>
              <w:ind w:left="140"/>
              <w:spacing w:after="0"/>
              <w:rPr>
                <w:sz w:val="20"/>
                <w:szCs w:val="20"/>
                <w:color w:val="auto"/>
              </w:rPr>
            </w:pPr>
            <w:r>
              <w:rPr>
                <w:rFonts w:ascii="Arial" w:cs="Arial" w:eastAsia="Arial" w:hAnsi="Arial"/>
                <w:sz w:val="16"/>
                <w:szCs w:val="16"/>
                <w:color w:val="auto"/>
              </w:rPr>
              <w:t>Dividends paid</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(60,326)</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(61,375)</w:t>
            </w:r>
          </w:p>
        </w:tc>
      </w:tr>
      <w:tr>
        <w:trPr>
          <w:trHeight w:val="189"/>
        </w:trPr>
        <w:tc>
          <w:tcPr>
            <w:tcW w:w="72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Repurchase of noncontrolling interest in Premion</w:t>
            </w:r>
          </w:p>
        </w:tc>
        <w:tc>
          <w:tcPr>
            <w:tcW w:w="4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(20,845)</w:t>
            </w: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75"/>
        </w:trPr>
        <w:tc>
          <w:tcPr>
            <w:tcW w:w="7200" w:type="dxa"/>
            <w:vAlign w:val="bottom"/>
          </w:tcPr>
          <w:p>
            <w:pPr>
              <w:ind w:left="140"/>
              <w:spacing w:after="0" w:line="175" w:lineRule="exact"/>
              <w:rPr>
                <w:sz w:val="20"/>
                <w:szCs w:val="20"/>
                <w:color w:val="auto"/>
              </w:rPr>
            </w:pPr>
            <w:r>
              <w:rPr>
                <w:rFonts w:ascii="Arial" w:cs="Arial" w:eastAsia="Arial" w:hAnsi="Arial"/>
                <w:sz w:val="16"/>
                <w:szCs w:val="16"/>
                <w:color w:val="auto"/>
              </w:rPr>
              <w:t>Payments for tax withholding related to vested stock-based compensation awards and share</w:t>
            </w: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03"/>
        </w:trPr>
        <w:tc>
          <w:tcPr>
            <w:tcW w:w="7200" w:type="dxa"/>
            <w:vAlign w:val="bottom"/>
          </w:tcPr>
          <w:p>
            <w:pPr>
              <w:ind w:left="140"/>
              <w:spacing w:after="0"/>
              <w:rPr>
                <w:sz w:val="20"/>
                <w:szCs w:val="20"/>
                <w:color w:val="auto"/>
              </w:rPr>
            </w:pPr>
            <w:r>
              <w:rPr>
                <w:rFonts w:ascii="Arial" w:cs="Arial" w:eastAsia="Arial" w:hAnsi="Arial"/>
                <w:sz w:val="16"/>
                <w:szCs w:val="16"/>
                <w:color w:val="auto"/>
              </w:rPr>
              <w:t>repurchase excise tax</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(16,822)</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(11,620)</w:t>
            </w:r>
          </w:p>
        </w:tc>
      </w:tr>
      <w:tr>
        <w:trPr>
          <w:trHeight w:val="189"/>
        </w:trPr>
        <w:tc>
          <w:tcPr>
            <w:tcW w:w="72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Payment for acquisition-related earnout consideration</w:t>
            </w:r>
          </w:p>
        </w:tc>
        <w:tc>
          <w:tcPr>
            <w:tcW w:w="4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(6,364)</w:t>
            </w: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(4,667)</w:t>
            </w:r>
          </w:p>
        </w:tc>
      </w:tr>
      <w:tr>
        <w:trPr>
          <w:trHeight w:val="189"/>
        </w:trPr>
        <w:tc>
          <w:tcPr>
            <w:tcW w:w="7200" w:type="dxa"/>
            <w:vAlign w:val="bottom"/>
          </w:tcPr>
          <w:p>
            <w:pPr>
              <w:ind w:left="140"/>
              <w:spacing w:after="0"/>
              <w:rPr>
                <w:sz w:val="20"/>
                <w:szCs w:val="20"/>
                <w:color w:val="auto"/>
              </w:rPr>
            </w:pPr>
            <w:r>
              <w:rPr>
                <w:rFonts w:ascii="Arial" w:cs="Arial" w:eastAsia="Arial" w:hAnsi="Arial"/>
                <w:sz w:val="16"/>
                <w:szCs w:val="16"/>
                <w:color w:val="auto"/>
              </w:rPr>
              <w:t>Repurchase of common stock</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(224,996)</w:t>
            </w:r>
          </w:p>
        </w:tc>
      </w:tr>
      <w:tr>
        <w:trPr>
          <w:trHeight w:val="189"/>
        </w:trPr>
        <w:tc>
          <w:tcPr>
            <w:tcW w:w="720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6"/>
                <w:szCs w:val="16"/>
                <w:color w:val="auto"/>
              </w:rPr>
              <w:t>Payments for debt issuance cost</w:t>
            </w:r>
          </w:p>
        </w:tc>
        <w:tc>
          <w:tcPr>
            <w:tcW w:w="44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(6,448)</w:t>
            </w:r>
          </w:p>
        </w:tc>
      </w:tr>
      <w:tr>
        <w:trPr>
          <w:trHeight w:val="183"/>
        </w:trPr>
        <w:tc>
          <w:tcPr>
            <w:tcW w:w="72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Net cash flow used for financing activities</w:t>
            </w:r>
          </w:p>
        </w:tc>
        <w:tc>
          <w:tcPr>
            <w:tcW w:w="4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(654,357)</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(309,106)</w:t>
            </w:r>
          </w:p>
        </w:tc>
      </w:tr>
      <w:tr>
        <w:trPr>
          <w:trHeight w:val="183"/>
        </w:trPr>
        <w:tc>
          <w:tcPr>
            <w:tcW w:w="72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change in cash and cash equivalents</w:t>
            </w:r>
          </w:p>
        </w:tc>
        <w:tc>
          <w:tcPr>
            <w:tcW w:w="4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(460,439)</w:t>
            </w: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175,217</w:t>
            </w:r>
          </w:p>
        </w:tc>
      </w:tr>
      <w:tr>
        <w:trPr>
          <w:trHeight w:val="189"/>
        </w:trPr>
        <w:tc>
          <w:tcPr>
            <w:tcW w:w="7200" w:type="dxa"/>
            <w:vAlign w:val="bottom"/>
          </w:tcPr>
          <w:p>
            <w:pPr>
              <w:spacing w:after="0"/>
              <w:rPr>
                <w:sz w:val="20"/>
                <w:szCs w:val="20"/>
                <w:color w:val="auto"/>
              </w:rPr>
            </w:pPr>
            <w:r>
              <w:rPr>
                <w:rFonts w:ascii="Arial" w:cs="Arial" w:eastAsia="Arial" w:hAnsi="Arial"/>
                <w:sz w:val="16"/>
                <w:szCs w:val="16"/>
                <w:color w:val="auto"/>
              </w:rPr>
              <w:t>Cash and cash equivalents at end of the period</w:t>
            </w: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232,775</w:t>
            </w:r>
          </w:p>
        </w:tc>
        <w:tc>
          <w:tcPr>
            <w:tcW w:w="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536,253</w:t>
            </w:r>
          </w:p>
        </w:tc>
      </w:tr>
      <w:tr>
        <w:trPr>
          <w:trHeight w:val="20"/>
        </w:trPr>
        <w:tc>
          <w:tcPr>
            <w:tcW w:w="7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-402590</wp:posOffset>
            </wp:positionV>
            <wp:extent cx="1200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55" w:lineRule="exact"/>
        <w:rPr>
          <w:sz w:val="20"/>
          <w:szCs w:val="20"/>
          <w:color w:val="auto"/>
        </w:rPr>
      </w:pPr>
    </w:p>
    <w:p>
      <w:pPr>
        <w:ind w:right="120" w:firstLine="374"/>
        <w:spacing w:after="0" w:line="259" w:lineRule="auto"/>
        <w:rPr>
          <w:sz w:val="20"/>
          <w:szCs w:val="20"/>
          <w:color w:val="auto"/>
        </w:rPr>
      </w:pPr>
      <w:r>
        <w:rPr>
          <w:rFonts w:ascii="Arial" w:cs="Arial" w:eastAsia="Arial" w:hAnsi="Arial"/>
          <w:sz w:val="16"/>
          <w:szCs w:val="16"/>
          <w:b w:val="1"/>
          <w:bCs w:val="1"/>
          <w:color w:val="auto"/>
        </w:rPr>
        <w:t xml:space="preserve">Operating activities </w:t>
      </w:r>
      <w:r>
        <w:rPr>
          <w:rFonts w:ascii="Arial" w:cs="Arial" w:eastAsia="Arial" w:hAnsi="Arial"/>
          <w:sz w:val="16"/>
          <w:szCs w:val="16"/>
          <w:color w:val="auto"/>
        </w:rPr>
        <w:t>- Cash flow from operating activities was $218.6 million for the nine months ended September 30, 2025, compared to $435.2</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for the same period in 2024, representing a decrease of $216.6 million. The decline was primarily attributable to a $185.8 million decline in operating income, mainly due to the decrease in political revenue of $164.1 million consistent with the cyclical even-to-odd year comparisons. Income tax payments also increased by $34.4 million, driven primarily by the purchase of clean energy tax credits.</w:t>
      </w:r>
    </w:p>
    <w:p>
      <w:pPr>
        <w:spacing w:after="0" w:line="151" w:lineRule="exact"/>
        <w:rPr>
          <w:sz w:val="20"/>
          <w:szCs w:val="20"/>
          <w:color w:val="auto"/>
        </w:rPr>
      </w:pPr>
    </w:p>
    <w:p>
      <w:pPr>
        <w:ind w:right="100" w:firstLine="374"/>
        <w:spacing w:after="0" w:line="256" w:lineRule="auto"/>
        <w:rPr>
          <w:sz w:val="20"/>
          <w:szCs w:val="20"/>
          <w:color w:val="auto"/>
        </w:rPr>
      </w:pPr>
      <w:r>
        <w:rPr>
          <w:rFonts w:ascii="Arial" w:cs="Arial" w:eastAsia="Arial" w:hAnsi="Arial"/>
          <w:sz w:val="16"/>
          <w:szCs w:val="16"/>
          <w:b w:val="1"/>
          <w:bCs w:val="1"/>
          <w:color w:val="auto"/>
        </w:rPr>
        <w:t xml:space="preserve">Investing activities </w:t>
      </w:r>
      <w:r>
        <w:rPr>
          <w:rFonts w:ascii="Arial" w:cs="Arial" w:eastAsia="Arial" w:hAnsi="Arial"/>
          <w:sz w:val="16"/>
          <w:szCs w:val="16"/>
          <w:color w:val="auto"/>
        </w:rPr>
        <w:t>- Net cash used in investing activities amounted to $24.7 million for the nine months ended September 30, 2025, compared to net</w:t>
      </w:r>
      <w:r>
        <w:rPr>
          <w:rFonts w:ascii="Arial" w:cs="Arial" w:eastAsia="Arial" w:hAnsi="Arial"/>
          <w:sz w:val="16"/>
          <w:szCs w:val="16"/>
          <w:b w:val="1"/>
          <w:bCs w:val="1"/>
          <w:color w:val="auto"/>
        </w:rPr>
        <w:t xml:space="preserve"> </w:t>
      </w:r>
      <w:r>
        <w:rPr>
          <w:rFonts w:ascii="Arial" w:cs="Arial" w:eastAsia="Arial" w:hAnsi="Arial"/>
          <w:sz w:val="16"/>
          <w:szCs w:val="16"/>
          <w:color w:val="auto"/>
        </w:rPr>
        <w:t>cash provided by investing activities of $49.1 million for the same period in 2024. The year-over-year decrease of $73.8 million in net cash from investing activities was primarily attributable to $152.9 million in proceeds received from the sale of our investment in BMI during the first quarter of 2024. This was partially offset by cash outflows of $52.8 million related to the acquisition of Octillion Media in 2024. Partially offsetting these declines were year over year reductions of $13.5 million in the purchase of property and equipment and $16.4 million in cash paid for investments.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6" w:name="page27"/>
    <w:bookmarkEnd w:id="26"/>
    <w:p>
      <w:pPr>
        <w:ind w:firstLine="374"/>
        <w:spacing w:after="0" w:line="256" w:lineRule="auto"/>
        <w:rPr>
          <w:sz w:val="20"/>
          <w:szCs w:val="20"/>
          <w:color w:val="auto"/>
        </w:rPr>
      </w:pPr>
      <w:r>
        <w:rPr>
          <w:rFonts w:ascii="Arial" w:cs="Arial" w:eastAsia="Arial" w:hAnsi="Arial"/>
          <w:sz w:val="16"/>
          <w:szCs w:val="16"/>
          <w:b w:val="1"/>
          <w:bCs w:val="1"/>
          <w:color w:val="auto"/>
        </w:rPr>
        <w:t xml:space="preserve">Financing activities </w:t>
      </w:r>
      <w:r>
        <w:rPr>
          <w:rFonts w:ascii="Arial" w:cs="Arial" w:eastAsia="Arial" w:hAnsi="Arial"/>
          <w:sz w:val="16"/>
          <w:szCs w:val="16"/>
          <w:color w:val="auto"/>
        </w:rPr>
        <w:t>- Net cash used in financing activities totaled $654.4 million for the nine months ended September 30, 2025, compared to $309.1</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for the same period in 2024. The year-over-year increase in cash outflows was primarily driven by the repayment of the 2026 notes totaling $550.0 million. In addition, during the first nine months of 2025 we paid $20.8 million as a result of Premion redeeming Gray Television’s ownership interest in Premion. By contrast, financing outflows in the first nine months of 2024 were largely attributable to the repurchase of $225.0 million of common stock on the open market under our authorized share repurchase program. No share repurchase activity occurred during the first nine months of 2025.</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Factors Affecting Forward-Looking Statements</w:t>
      </w:r>
    </w:p>
    <w:p>
      <w:pPr>
        <w:spacing w:after="0" w:line="194" w:lineRule="exact"/>
        <w:rPr>
          <w:sz w:val="20"/>
          <w:szCs w:val="20"/>
          <w:color w:val="auto"/>
        </w:rPr>
      </w:pPr>
    </w:p>
    <w:p>
      <w:pPr>
        <w:ind w:right="20" w:firstLine="374"/>
        <w:spacing w:after="0" w:line="250" w:lineRule="auto"/>
        <w:rPr>
          <w:sz w:val="20"/>
          <w:szCs w:val="20"/>
          <w:color w:val="auto"/>
        </w:rPr>
      </w:pPr>
      <w:r>
        <w:rPr>
          <w:rFonts w:ascii="Arial" w:cs="Arial" w:eastAsia="Arial" w:hAnsi="Arial"/>
          <w:sz w:val="16"/>
          <w:szCs w:val="16"/>
          <w:color w:val="auto"/>
        </w:rPr>
        <w:t xml:space="preserve">Certain statements in this Quarterly Report on Form 10-Q that do not describe historical facts may constitute forward- looking statements within the meaning of the U.S. Private Securities Litigation Reform Act of 1995 and the “safe harbor” provisions of Section 27A of the Securities Act of 1933, as amended, and Section 21E of the Securities Exchange Act of 1934, as amended. Without limitation, any statements preceded or followed by or that include the words “targets,” “plans,” “believes,” “expects,” “intends,” “will,” “likely,” “may,” “anticipates,” “estimates,” “projects,” “should,” “would,” “could,” “might,” “expect,” “positioned,” “strategy,” “future,” “potential,” “forecast,” “outlook,” or words, phrases or terms of similar substance or the negative thereof, are forward-looking statements. These include, but are not limited to, statements regarding TEGNA’s future financial and operating results (including growth and earnings), capital allocation framework, plans, objectives, expectations and intentions and other statements that are not historical facts. These forward-looking statements </w:t>
      </w:r>
      <w:r>
        <w:rPr>
          <w:rFonts w:ascii="Arial" w:cs="Arial" w:eastAsia="Arial" w:hAnsi="Arial"/>
          <w:sz w:val="16"/>
          <w:szCs w:val="16"/>
          <w:color w:val="231F20"/>
        </w:rPr>
        <w:t>are necessarily estimates reflecting the best judgment and current views, projections, estimates, expectations, plans, assumptions and</w:t>
      </w:r>
      <w:r>
        <w:rPr>
          <w:rFonts w:ascii="Arial" w:cs="Arial" w:eastAsia="Arial" w:hAnsi="Arial"/>
          <w:sz w:val="16"/>
          <w:szCs w:val="16"/>
          <w:color w:val="auto"/>
        </w:rPr>
        <w:t xml:space="preserve"> </w:t>
      </w:r>
      <w:r>
        <w:rPr>
          <w:rFonts w:ascii="Arial" w:cs="Arial" w:eastAsia="Arial" w:hAnsi="Arial"/>
          <w:sz w:val="16"/>
          <w:szCs w:val="16"/>
          <w:color w:val="231F20"/>
        </w:rPr>
        <w:t>beliefs about future events (in each case subject to change) of TEGNA’s senior management and involve a number of risks, uncertainties and other factors, many of which may be beyond our control that could cause actual results to differ materially from those views, projections, estimates, expectations, plans, assumptions and beliefs expressed or implied in such forward-looking statements. These risks, uncertainties and other factors include, but are not limited to, risks and uncertainties related to:</w:t>
      </w:r>
    </w:p>
    <w:p>
      <w:pPr>
        <w:spacing w:after="0" w:line="238" w:lineRule="exact"/>
        <w:rPr>
          <w:sz w:val="20"/>
          <w:szCs w:val="20"/>
          <w:color w:val="auto"/>
        </w:rPr>
      </w:pPr>
    </w:p>
    <w:p>
      <w:pPr>
        <w:ind w:left="1000" w:right="400" w:hanging="483"/>
        <w:spacing w:after="0" w:line="285" w:lineRule="auto"/>
        <w:tabs>
          <w:tab w:leader="none" w:pos="100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The timing, receipt and terms and conditions of any required governmental or regulatory approvals of the proposed transaction that could reduce the anticipated benefits of or cause the parties to abandon the proposed transaction;</w:t>
      </w:r>
    </w:p>
    <w:p>
      <w:pPr>
        <w:spacing w:after="0" w:line="7" w:lineRule="exact"/>
        <w:rPr>
          <w:rFonts w:ascii="Times New Roman" w:cs="Times New Roman" w:eastAsia="Times New Roman" w:hAnsi="Times New Roman"/>
          <w:sz w:val="16"/>
          <w:szCs w:val="16"/>
          <w:color w:val="auto"/>
        </w:rPr>
      </w:pPr>
    </w:p>
    <w:p>
      <w:pPr>
        <w:ind w:left="1000" w:right="460" w:hanging="483"/>
        <w:spacing w:after="0" w:line="285" w:lineRule="auto"/>
        <w:tabs>
          <w:tab w:leader="none" w:pos="100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Risks related to the satisfaction of the conditions to closing the proposed transaction (including the failure to obtain necessary regulatory approvals or the approval of the TEGNA stockholders), in the anticipated timeframe or at all;</w:t>
      </w:r>
    </w:p>
    <w:p>
      <w:pPr>
        <w:spacing w:after="0" w:line="7" w:lineRule="exact"/>
        <w:rPr>
          <w:rFonts w:ascii="Times New Roman" w:cs="Times New Roman" w:eastAsia="Times New Roman" w:hAnsi="Times New Roman"/>
          <w:sz w:val="16"/>
          <w:szCs w:val="16"/>
          <w:color w:val="auto"/>
        </w:rPr>
      </w:pPr>
    </w:p>
    <w:p>
      <w:pPr>
        <w:ind w:left="1000" w:right="920" w:hanging="483"/>
        <w:spacing w:after="0" w:line="285" w:lineRule="auto"/>
        <w:tabs>
          <w:tab w:leader="none" w:pos="100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The risk that any announcements relating to the proposed transaction could have adverse effects on the market price of TEGNA’s common stock;</w:t>
      </w:r>
    </w:p>
    <w:p>
      <w:pPr>
        <w:spacing w:after="0" w:line="21" w:lineRule="exact"/>
        <w:rPr>
          <w:rFonts w:ascii="Times New Roman" w:cs="Times New Roman" w:eastAsia="Times New Roman" w:hAnsi="Times New Roman"/>
          <w:sz w:val="16"/>
          <w:szCs w:val="16"/>
          <w:color w:val="auto"/>
        </w:rPr>
      </w:pPr>
    </w:p>
    <w:p>
      <w:pPr>
        <w:ind w:left="1000" w:right="580" w:hanging="483"/>
        <w:spacing w:after="0" w:line="285" w:lineRule="auto"/>
        <w:tabs>
          <w:tab w:leader="none" w:pos="100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Disruption from the proposed transaction making it more difficult to maintain business and operational relationships, including retaining and hiring key personnel and maintaining relationships with TEGNA’s customers, vendors and others with whom it does business;</w:t>
      </w:r>
    </w:p>
    <w:p>
      <w:pPr>
        <w:spacing w:after="0" w:line="7" w:lineRule="exact"/>
        <w:rPr>
          <w:rFonts w:ascii="Times New Roman" w:cs="Times New Roman" w:eastAsia="Times New Roman" w:hAnsi="Times New Roman"/>
          <w:sz w:val="16"/>
          <w:szCs w:val="16"/>
          <w:color w:val="auto"/>
        </w:rPr>
      </w:pPr>
    </w:p>
    <w:p>
      <w:pPr>
        <w:ind w:left="1000" w:right="420" w:hanging="483"/>
        <w:spacing w:after="0" w:line="285" w:lineRule="auto"/>
        <w:tabs>
          <w:tab w:leader="none" w:pos="100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The occurrence of any event, change or other circumstances that could give rise to the termination of the merger agreement entered into pursuant to the proposed transaction;</w:t>
      </w:r>
    </w:p>
    <w:p>
      <w:pPr>
        <w:spacing w:after="0" w:line="7" w:lineRule="exact"/>
        <w:rPr>
          <w:rFonts w:ascii="Times New Roman" w:cs="Times New Roman" w:eastAsia="Times New Roman" w:hAnsi="Times New Roman"/>
          <w:sz w:val="16"/>
          <w:szCs w:val="16"/>
          <w:color w:val="auto"/>
        </w:rPr>
      </w:pPr>
    </w:p>
    <w:p>
      <w:pPr>
        <w:ind w:left="1000" w:hanging="483"/>
        <w:spacing w:after="0"/>
        <w:tabs>
          <w:tab w:leader="none" w:pos="100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Risks related to disruption of management’s attention from TEGNA’s ongoing business operations due to the proposed transaction;</w:t>
      </w:r>
    </w:p>
    <w:p>
      <w:pPr>
        <w:spacing w:after="0" w:line="98" w:lineRule="exact"/>
        <w:rPr>
          <w:rFonts w:ascii="Times New Roman" w:cs="Times New Roman" w:eastAsia="Times New Roman" w:hAnsi="Times New Roman"/>
          <w:sz w:val="16"/>
          <w:szCs w:val="16"/>
          <w:color w:val="auto"/>
        </w:rPr>
      </w:pPr>
    </w:p>
    <w:p>
      <w:pPr>
        <w:ind w:left="1000" w:hanging="483"/>
        <w:spacing w:after="0"/>
        <w:tabs>
          <w:tab w:leader="none" w:pos="100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Significant transaction costs;</w:t>
      </w:r>
    </w:p>
    <w:p>
      <w:pPr>
        <w:spacing w:after="0" w:line="85" w:lineRule="exact"/>
        <w:rPr>
          <w:rFonts w:ascii="Times New Roman" w:cs="Times New Roman" w:eastAsia="Times New Roman" w:hAnsi="Times New Roman"/>
          <w:sz w:val="16"/>
          <w:szCs w:val="16"/>
          <w:color w:val="auto"/>
        </w:rPr>
      </w:pPr>
    </w:p>
    <w:p>
      <w:pPr>
        <w:ind w:left="1000" w:right="520" w:hanging="483"/>
        <w:spacing w:after="0" w:line="285" w:lineRule="auto"/>
        <w:tabs>
          <w:tab w:leader="none" w:pos="100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The risk of litigation and/or regulatory actions related to the proposed transaction or unfavorable results from currently pending litigation and proceedings or litigation and proceedings that could arise in the future;</w:t>
      </w:r>
    </w:p>
    <w:p>
      <w:pPr>
        <w:spacing w:after="0" w:line="7" w:lineRule="exact"/>
        <w:rPr>
          <w:rFonts w:ascii="Times New Roman" w:cs="Times New Roman" w:eastAsia="Times New Roman" w:hAnsi="Times New Roman"/>
          <w:sz w:val="16"/>
          <w:szCs w:val="16"/>
          <w:color w:val="auto"/>
        </w:rPr>
      </w:pPr>
    </w:p>
    <w:p>
      <w:pPr>
        <w:ind w:left="1000" w:right="700" w:hanging="483"/>
        <w:spacing w:after="0" w:line="285" w:lineRule="auto"/>
        <w:tabs>
          <w:tab w:leader="none" w:pos="100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the market price of TEGNA’s shares, general economic and market conditions, constraints, volatility, or disruptions in the capital markets;</w:t>
      </w:r>
    </w:p>
    <w:p>
      <w:pPr>
        <w:spacing w:after="0" w:line="21" w:lineRule="exact"/>
        <w:rPr>
          <w:rFonts w:ascii="Times New Roman" w:cs="Times New Roman" w:eastAsia="Times New Roman" w:hAnsi="Times New Roman"/>
          <w:sz w:val="16"/>
          <w:szCs w:val="16"/>
          <w:color w:val="auto"/>
        </w:rPr>
      </w:pPr>
    </w:p>
    <w:p>
      <w:pPr>
        <w:ind w:left="1000" w:right="640" w:hanging="483"/>
        <w:spacing w:after="0" w:line="285" w:lineRule="auto"/>
        <w:tabs>
          <w:tab w:leader="none" w:pos="1000" w:val="left"/>
        </w:tabs>
        <w:numPr>
          <w:ilvl w:val="0"/>
          <w:numId w:val="13"/>
        </w:numPr>
        <w:rPr>
          <w:rFonts w:ascii="Times New Roman" w:cs="Times New Roman" w:eastAsia="Times New Roman" w:hAnsi="Times New Roman"/>
          <w:sz w:val="16"/>
          <w:szCs w:val="16"/>
          <w:color w:val="231F20"/>
        </w:rPr>
      </w:pPr>
      <w:r>
        <w:rPr>
          <w:rFonts w:ascii="Arial" w:cs="Arial" w:eastAsia="Arial" w:hAnsi="Arial"/>
          <w:sz w:val="16"/>
          <w:szCs w:val="16"/>
          <w:color w:val="auto"/>
        </w:rPr>
        <w:t>The possibility that TEGNA’s capital allocation plan, including dividends, share repurchases and/or strategic acquisitions, investments and partnerships may not enhance long-term stockholder value</w:t>
      </w:r>
      <w:r>
        <w:rPr>
          <w:rFonts w:ascii="Arial" w:cs="Arial" w:eastAsia="Arial" w:hAnsi="Arial"/>
          <w:sz w:val="16"/>
          <w:szCs w:val="16"/>
          <w:color w:val="231F20"/>
        </w:rPr>
        <w:t>;</w:t>
      </w:r>
    </w:p>
    <w:p>
      <w:pPr>
        <w:spacing w:after="0" w:line="7" w:lineRule="exact"/>
        <w:rPr>
          <w:rFonts w:ascii="Times New Roman" w:cs="Times New Roman" w:eastAsia="Times New Roman" w:hAnsi="Times New Roman"/>
          <w:sz w:val="16"/>
          <w:szCs w:val="16"/>
          <w:color w:val="231F20"/>
        </w:rPr>
      </w:pPr>
    </w:p>
    <w:p>
      <w:pPr>
        <w:ind w:left="1000" w:hanging="483"/>
        <w:spacing w:after="0"/>
        <w:tabs>
          <w:tab w:leader="none" w:pos="100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Legal proceedings, judgments or settlements;</w:t>
      </w:r>
    </w:p>
    <w:p>
      <w:pPr>
        <w:spacing w:after="0" w:line="85" w:lineRule="exact"/>
        <w:rPr>
          <w:rFonts w:ascii="Times New Roman" w:cs="Times New Roman" w:eastAsia="Times New Roman" w:hAnsi="Times New Roman"/>
          <w:sz w:val="16"/>
          <w:szCs w:val="16"/>
          <w:color w:val="auto"/>
        </w:rPr>
      </w:pPr>
    </w:p>
    <w:p>
      <w:pPr>
        <w:ind w:left="1000" w:hanging="483"/>
        <w:spacing w:after="0"/>
        <w:tabs>
          <w:tab w:leader="none" w:pos="100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TEGNA’s ability to re-price or renew subscribers;</w:t>
      </w:r>
    </w:p>
    <w:p>
      <w:pPr>
        <w:spacing w:after="0" w:line="98" w:lineRule="exact"/>
        <w:rPr>
          <w:rFonts w:ascii="Times New Roman" w:cs="Times New Roman" w:eastAsia="Times New Roman" w:hAnsi="Times New Roman"/>
          <w:sz w:val="16"/>
          <w:szCs w:val="16"/>
          <w:color w:val="auto"/>
        </w:rPr>
      </w:pPr>
    </w:p>
    <w:p>
      <w:pPr>
        <w:ind w:left="1000" w:right="980" w:hanging="483"/>
        <w:spacing w:after="0" w:line="285" w:lineRule="auto"/>
        <w:tabs>
          <w:tab w:leader="none" w:pos="100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or failure or inability to comply with, government regulations including, without limitation, regulations of the FCC, and adverse outcomes from regulatory proceedings;</w:t>
      </w:r>
    </w:p>
    <w:p>
      <w:pPr>
        <w:spacing w:after="0" w:line="7" w:lineRule="exact"/>
        <w:rPr>
          <w:rFonts w:ascii="Times New Roman" w:cs="Times New Roman" w:eastAsia="Times New Roman" w:hAnsi="Times New Roman"/>
          <w:sz w:val="16"/>
          <w:szCs w:val="16"/>
          <w:color w:val="auto"/>
        </w:rPr>
      </w:pPr>
    </w:p>
    <w:p>
      <w:pPr>
        <w:ind w:left="1000" w:right="620" w:hanging="483"/>
        <w:spacing w:after="0" w:line="285" w:lineRule="auto"/>
        <w:tabs>
          <w:tab w:leader="none" w:pos="100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The effects of extreme weather and climate events on our operations as well as our counterparties, customers, employees, third-party vendors and suppliers;</w:t>
      </w:r>
    </w:p>
    <w:p>
      <w:pPr>
        <w:spacing w:after="0" w:line="7" w:lineRule="exact"/>
        <w:rPr>
          <w:rFonts w:ascii="Times New Roman" w:cs="Times New Roman" w:eastAsia="Times New Roman" w:hAnsi="Times New Roman"/>
          <w:sz w:val="16"/>
          <w:szCs w:val="16"/>
          <w:color w:val="auto"/>
        </w:rPr>
      </w:pPr>
    </w:p>
    <w:p>
      <w:pPr>
        <w:ind w:left="1000" w:right="1000" w:hanging="483"/>
        <w:spacing w:after="0" w:line="285" w:lineRule="auto"/>
        <w:tabs>
          <w:tab w:leader="none" w:pos="100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Information technology system failures, data security breaches, data privacy compliance, network disruptions, and cybersecurity, malware or ransomware attacks;</w:t>
      </w:r>
    </w:p>
    <w:p>
      <w:pPr>
        <w:spacing w:after="0" w:line="21" w:lineRule="exact"/>
        <w:rPr>
          <w:rFonts w:ascii="Times New Roman" w:cs="Times New Roman" w:eastAsia="Times New Roman" w:hAnsi="Times New Roman"/>
          <w:sz w:val="16"/>
          <w:szCs w:val="16"/>
          <w:color w:val="auto"/>
        </w:rPr>
      </w:pPr>
    </w:p>
    <w:p>
      <w:pPr>
        <w:ind w:left="1000" w:hanging="483"/>
        <w:spacing w:after="0"/>
        <w:tabs>
          <w:tab w:leader="none" w:pos="1000" w:val="left"/>
        </w:tabs>
        <w:numPr>
          <w:ilvl w:val="0"/>
          <w:numId w:val="13"/>
        </w:numPr>
        <w:rPr>
          <w:rFonts w:ascii="Times New Roman" w:cs="Times New Roman" w:eastAsia="Times New Roman" w:hAnsi="Times New Roman"/>
          <w:sz w:val="16"/>
          <w:szCs w:val="16"/>
          <w:color w:val="231F20"/>
        </w:rPr>
      </w:pPr>
      <w:r>
        <w:rPr>
          <w:rFonts w:ascii="Arial" w:cs="Arial" w:eastAsia="Arial" w:hAnsi="Arial"/>
          <w:sz w:val="16"/>
          <w:szCs w:val="16"/>
          <w:color w:val="auto"/>
        </w:rPr>
        <w:t>Changes in technology, including changes in the distribution and viewing of television programming</w:t>
      </w:r>
      <w:r>
        <w:rPr>
          <w:rFonts w:ascii="Arial" w:cs="Arial" w:eastAsia="Arial" w:hAnsi="Arial"/>
          <w:sz w:val="16"/>
          <w:szCs w:val="16"/>
          <w:color w:val="231F20"/>
        </w:rPr>
        <w:t>;</w:t>
      </w:r>
    </w:p>
    <w:p>
      <w:pPr>
        <w:spacing w:after="0" w:line="85" w:lineRule="exact"/>
        <w:rPr>
          <w:rFonts w:ascii="Times New Roman" w:cs="Times New Roman" w:eastAsia="Times New Roman" w:hAnsi="Times New Roman"/>
          <w:sz w:val="16"/>
          <w:szCs w:val="16"/>
          <w:color w:val="231F20"/>
        </w:rPr>
      </w:pPr>
    </w:p>
    <w:p>
      <w:pPr>
        <w:ind w:left="1000" w:right="500" w:hanging="483"/>
        <w:spacing w:after="0" w:line="285" w:lineRule="auto"/>
        <w:tabs>
          <w:tab w:leader="none" w:pos="100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The reaction by advertisers, programming providers, strategic partners, FCC or other government regulators to businesses that we may seek to acquire;</w:t>
      </w:r>
    </w:p>
    <w:p>
      <w:pPr>
        <w:spacing w:after="0" w:line="7" w:lineRule="exact"/>
        <w:rPr>
          <w:rFonts w:ascii="Times New Roman" w:cs="Times New Roman" w:eastAsia="Times New Roman" w:hAnsi="Times New Roman"/>
          <w:sz w:val="16"/>
          <w:szCs w:val="16"/>
          <w:color w:val="auto"/>
        </w:rPr>
      </w:pPr>
    </w:p>
    <w:p>
      <w:pPr>
        <w:ind w:left="1000" w:hanging="483"/>
        <w:spacing w:after="0"/>
        <w:tabs>
          <w:tab w:leader="none" w:pos="100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The risk that we may become responsible for liabilities of businesses that we may acquire;</w:t>
      </w:r>
    </w:p>
    <w:p>
      <w:pPr>
        <w:spacing w:after="0" w:line="98" w:lineRule="exact"/>
        <w:rPr>
          <w:rFonts w:ascii="Times New Roman" w:cs="Times New Roman" w:eastAsia="Times New Roman" w:hAnsi="Times New Roman"/>
          <w:sz w:val="16"/>
          <w:szCs w:val="16"/>
          <w:color w:val="auto"/>
        </w:rPr>
      </w:pPr>
    </w:p>
    <w:p>
      <w:pPr>
        <w:ind w:left="1000" w:hanging="483"/>
        <w:spacing w:after="0"/>
        <w:tabs>
          <w:tab w:leader="none" w:pos="1000" w:val="left"/>
        </w:tabs>
        <w:numPr>
          <w:ilvl w:val="0"/>
          <w:numId w:val="13"/>
        </w:numPr>
        <w:rPr>
          <w:rFonts w:ascii="Times New Roman" w:cs="Times New Roman" w:eastAsia="Times New Roman" w:hAnsi="Times New Roman"/>
          <w:sz w:val="16"/>
          <w:szCs w:val="16"/>
          <w:color w:val="231F20"/>
        </w:rPr>
      </w:pPr>
      <w:r>
        <w:rPr>
          <w:rFonts w:ascii="Arial" w:cs="Arial" w:eastAsia="Arial" w:hAnsi="Arial"/>
          <w:sz w:val="16"/>
          <w:szCs w:val="16"/>
          <w:color w:val="231F20"/>
        </w:rPr>
        <w:t>Future financial performance, including our ability to obtain additional financing in the future on favorable terms;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5" w:right="379" w:bottom="1440" w:gutter="0" w:footer="0" w:header="0"/>
        </w:sectPr>
      </w:pPr>
    </w:p>
    <w:bookmarkStart w:id="27" w:name="page28"/>
    <w:bookmarkEnd w:id="27"/>
    <w:p>
      <w:pPr>
        <w:ind w:left="1000" w:hanging="483"/>
        <w:spacing w:after="0"/>
        <w:tabs>
          <w:tab w:leader="none" w:pos="1000" w:val="left"/>
        </w:tabs>
        <w:numPr>
          <w:ilvl w:val="0"/>
          <w:numId w:val="14"/>
        </w:numPr>
        <w:rPr>
          <w:rFonts w:ascii="Times New Roman" w:cs="Times New Roman" w:eastAsia="Times New Roman" w:hAnsi="Times New Roman"/>
          <w:sz w:val="16"/>
          <w:szCs w:val="16"/>
          <w:color w:val="231F20"/>
        </w:rPr>
      </w:pPr>
      <w:r>
        <w:rPr>
          <w:rFonts w:ascii="Arial" w:cs="Arial" w:eastAsia="Arial" w:hAnsi="Arial"/>
          <w:sz w:val="16"/>
          <w:szCs w:val="16"/>
          <w:color w:val="231F20"/>
        </w:rPr>
        <w:t>The failure of our business to produce projected revenues or cash flows;</w:t>
      </w:r>
    </w:p>
    <w:p>
      <w:pPr>
        <w:spacing w:after="0" w:line="85" w:lineRule="exact"/>
        <w:rPr>
          <w:rFonts w:ascii="Times New Roman" w:cs="Times New Roman" w:eastAsia="Times New Roman" w:hAnsi="Times New Roman"/>
          <w:sz w:val="16"/>
          <w:szCs w:val="16"/>
          <w:color w:val="231F20"/>
        </w:rPr>
      </w:pPr>
    </w:p>
    <w:p>
      <w:pPr>
        <w:ind w:left="1000" w:hanging="483"/>
        <w:spacing w:after="0"/>
        <w:tabs>
          <w:tab w:leader="none" w:pos="1000" w:val="left"/>
        </w:tabs>
        <w:numPr>
          <w:ilvl w:val="0"/>
          <w:numId w:val="14"/>
        </w:numPr>
        <w:rPr>
          <w:rFonts w:ascii="Times New Roman" w:cs="Times New Roman" w:eastAsia="Times New Roman" w:hAnsi="Times New Roman"/>
          <w:sz w:val="16"/>
          <w:szCs w:val="16"/>
          <w:color w:val="231F20"/>
        </w:rPr>
      </w:pPr>
      <w:r>
        <w:rPr>
          <w:rFonts w:ascii="Arial" w:cs="Arial" w:eastAsia="Arial" w:hAnsi="Arial"/>
          <w:sz w:val="16"/>
          <w:szCs w:val="16"/>
          <w:color w:val="231F20"/>
        </w:rPr>
        <w:t>Continued consolidation in the industry, including MVPDs, vMVPDs, advertising agencies and other important third parties;</w:t>
      </w:r>
    </w:p>
    <w:p>
      <w:pPr>
        <w:spacing w:after="0" w:line="85" w:lineRule="exact"/>
        <w:rPr>
          <w:rFonts w:ascii="Times New Roman" w:cs="Times New Roman" w:eastAsia="Times New Roman" w:hAnsi="Times New Roman"/>
          <w:sz w:val="16"/>
          <w:szCs w:val="16"/>
          <w:color w:val="231F20"/>
        </w:rPr>
      </w:pPr>
    </w:p>
    <w:p>
      <w:pPr>
        <w:ind w:left="1000" w:right="1120" w:hanging="483"/>
        <w:spacing w:after="0" w:line="285" w:lineRule="auto"/>
        <w:tabs>
          <w:tab w:leader="none" w:pos="1000" w:val="left"/>
        </w:tabs>
        <w:numPr>
          <w:ilvl w:val="0"/>
          <w:numId w:val="14"/>
        </w:numPr>
        <w:rPr>
          <w:rFonts w:ascii="Times New Roman" w:cs="Times New Roman" w:eastAsia="Times New Roman" w:hAnsi="Times New Roman"/>
          <w:sz w:val="16"/>
          <w:szCs w:val="16"/>
          <w:color w:val="231F20"/>
        </w:rPr>
      </w:pPr>
      <w:r>
        <w:rPr>
          <w:rFonts w:ascii="Arial" w:cs="Arial" w:eastAsia="Arial" w:hAnsi="Arial"/>
          <w:sz w:val="16"/>
          <w:szCs w:val="16"/>
          <w:color w:val="231F20"/>
        </w:rPr>
        <w:t>The loss of key personnel and/or talent or expenditure of a greater amount of resources attracting, retaining and motivating key personnel than in the past;</w:t>
      </w:r>
    </w:p>
    <w:p>
      <w:pPr>
        <w:spacing w:after="0" w:line="21" w:lineRule="exact"/>
        <w:rPr>
          <w:rFonts w:ascii="Times New Roman" w:cs="Times New Roman" w:eastAsia="Times New Roman" w:hAnsi="Times New Roman"/>
          <w:sz w:val="16"/>
          <w:szCs w:val="16"/>
          <w:color w:val="231F20"/>
        </w:rPr>
      </w:pPr>
    </w:p>
    <w:p>
      <w:pPr>
        <w:ind w:left="1000" w:right="1020" w:hanging="483"/>
        <w:spacing w:after="0" w:line="285" w:lineRule="auto"/>
        <w:tabs>
          <w:tab w:leader="none" w:pos="1000" w:val="left"/>
        </w:tabs>
        <w:numPr>
          <w:ilvl w:val="0"/>
          <w:numId w:val="14"/>
        </w:numPr>
        <w:rPr>
          <w:rFonts w:ascii="Times New Roman" w:cs="Times New Roman" w:eastAsia="Times New Roman" w:hAnsi="Times New Roman"/>
          <w:sz w:val="16"/>
          <w:szCs w:val="16"/>
          <w:color w:val="231F20"/>
        </w:rPr>
      </w:pPr>
      <w:r>
        <w:rPr>
          <w:rFonts w:ascii="Arial" w:cs="Arial" w:eastAsia="Arial" w:hAnsi="Arial"/>
          <w:sz w:val="16"/>
          <w:szCs w:val="16"/>
          <w:color w:val="231F20"/>
        </w:rPr>
        <w:t>Strikes or other union job actions that affect our operations, including, without limitation, failure to renew our collective bargaining agreements on mutually favorable terms;</w:t>
      </w:r>
    </w:p>
    <w:p>
      <w:pPr>
        <w:spacing w:after="0" w:line="7" w:lineRule="exact"/>
        <w:rPr>
          <w:rFonts w:ascii="Times New Roman" w:cs="Times New Roman" w:eastAsia="Times New Roman" w:hAnsi="Times New Roman"/>
          <w:sz w:val="16"/>
          <w:szCs w:val="16"/>
          <w:color w:val="231F20"/>
        </w:rPr>
      </w:pPr>
    </w:p>
    <w:p>
      <w:pPr>
        <w:ind w:left="1000" w:hanging="483"/>
        <w:spacing w:after="0"/>
        <w:tabs>
          <w:tab w:leader="none" w:pos="1000" w:val="left"/>
        </w:tabs>
        <w:numPr>
          <w:ilvl w:val="0"/>
          <w:numId w:val="14"/>
        </w:numPr>
        <w:rPr>
          <w:rFonts w:ascii="Times New Roman" w:cs="Times New Roman" w:eastAsia="Times New Roman" w:hAnsi="Times New Roman"/>
          <w:sz w:val="16"/>
          <w:szCs w:val="16"/>
          <w:color w:val="231F20"/>
        </w:rPr>
      </w:pPr>
      <w:r>
        <w:rPr>
          <w:rFonts w:ascii="Arial" w:cs="Arial" w:eastAsia="Arial" w:hAnsi="Arial"/>
          <w:sz w:val="16"/>
          <w:szCs w:val="16"/>
          <w:color w:val="231F20"/>
        </w:rPr>
        <w:t>Uncertainties inherent in the development of new business lines and business strategies;</w:t>
      </w:r>
    </w:p>
    <w:p>
      <w:pPr>
        <w:spacing w:after="0" w:line="85" w:lineRule="exact"/>
        <w:rPr>
          <w:rFonts w:ascii="Times New Roman" w:cs="Times New Roman" w:eastAsia="Times New Roman" w:hAnsi="Times New Roman"/>
          <w:sz w:val="16"/>
          <w:szCs w:val="16"/>
          <w:color w:val="231F20"/>
        </w:rPr>
      </w:pPr>
    </w:p>
    <w:p>
      <w:pPr>
        <w:ind w:left="1000" w:hanging="483"/>
        <w:spacing w:after="0"/>
        <w:tabs>
          <w:tab w:leader="none" w:pos="1000" w:val="left"/>
        </w:tabs>
        <w:numPr>
          <w:ilvl w:val="0"/>
          <w:numId w:val="14"/>
        </w:numPr>
        <w:rPr>
          <w:rFonts w:ascii="Times New Roman" w:cs="Times New Roman" w:eastAsia="Times New Roman" w:hAnsi="Times New Roman"/>
          <w:sz w:val="16"/>
          <w:szCs w:val="16"/>
          <w:color w:val="231F20"/>
        </w:rPr>
      </w:pPr>
      <w:r>
        <w:rPr>
          <w:rFonts w:ascii="Arial" w:cs="Arial" w:eastAsia="Arial" w:hAnsi="Arial"/>
          <w:sz w:val="16"/>
          <w:szCs w:val="16"/>
          <w:color w:val="231F20"/>
        </w:rPr>
        <w:t>Changes in laws or regulations under which we operate;</w:t>
      </w:r>
    </w:p>
    <w:p>
      <w:pPr>
        <w:spacing w:after="0" w:line="98" w:lineRule="exact"/>
        <w:rPr>
          <w:rFonts w:ascii="Times New Roman" w:cs="Times New Roman" w:eastAsia="Times New Roman" w:hAnsi="Times New Roman"/>
          <w:sz w:val="16"/>
          <w:szCs w:val="16"/>
          <w:color w:val="231F20"/>
        </w:rPr>
      </w:pPr>
    </w:p>
    <w:p>
      <w:pPr>
        <w:ind w:left="1000" w:hanging="483"/>
        <w:spacing w:after="0"/>
        <w:tabs>
          <w:tab w:leader="none" w:pos="1000" w:val="left"/>
        </w:tabs>
        <w:numPr>
          <w:ilvl w:val="0"/>
          <w:numId w:val="14"/>
        </w:numPr>
        <w:rPr>
          <w:rFonts w:ascii="Times New Roman" w:cs="Times New Roman" w:eastAsia="Times New Roman" w:hAnsi="Times New Roman"/>
          <w:sz w:val="16"/>
          <w:szCs w:val="16"/>
          <w:color w:val="231F20"/>
        </w:rPr>
      </w:pPr>
      <w:r>
        <w:rPr>
          <w:rFonts w:ascii="Arial" w:cs="Arial" w:eastAsia="Arial" w:hAnsi="Arial"/>
          <w:sz w:val="16"/>
          <w:szCs w:val="16"/>
          <w:color w:val="231F20"/>
        </w:rPr>
        <w:t>Competitor responses to our products and services;</w:t>
      </w:r>
    </w:p>
    <w:p>
      <w:pPr>
        <w:spacing w:after="0" w:line="85" w:lineRule="exact"/>
        <w:rPr>
          <w:rFonts w:ascii="Times New Roman" w:cs="Times New Roman" w:eastAsia="Times New Roman" w:hAnsi="Times New Roman"/>
          <w:sz w:val="16"/>
          <w:szCs w:val="16"/>
          <w:color w:val="231F20"/>
        </w:rPr>
      </w:pPr>
    </w:p>
    <w:p>
      <w:pPr>
        <w:ind w:left="1000" w:hanging="483"/>
        <w:spacing w:after="0"/>
        <w:tabs>
          <w:tab w:leader="none" w:pos="1000" w:val="left"/>
        </w:tabs>
        <w:numPr>
          <w:ilvl w:val="0"/>
          <w:numId w:val="14"/>
        </w:numPr>
        <w:rPr>
          <w:rFonts w:ascii="Times New Roman" w:cs="Times New Roman" w:eastAsia="Times New Roman" w:hAnsi="Times New Roman"/>
          <w:sz w:val="16"/>
          <w:szCs w:val="16"/>
          <w:color w:val="231F20"/>
        </w:rPr>
      </w:pPr>
      <w:r>
        <w:rPr>
          <w:rFonts w:ascii="Arial" w:cs="Arial" w:eastAsia="Arial" w:hAnsi="Arial"/>
          <w:sz w:val="16"/>
          <w:szCs w:val="16"/>
          <w:color w:val="231F20"/>
        </w:rPr>
        <w:t>Changes in consumer behaviors and impacts on and modifications to TEGNA’s operations and business relating thereto;</w:t>
      </w:r>
    </w:p>
    <w:p>
      <w:pPr>
        <w:spacing w:after="0" w:line="85" w:lineRule="exact"/>
        <w:rPr>
          <w:rFonts w:ascii="Times New Roman" w:cs="Times New Roman" w:eastAsia="Times New Roman" w:hAnsi="Times New Roman"/>
          <w:sz w:val="16"/>
          <w:szCs w:val="16"/>
          <w:color w:val="231F20"/>
        </w:rPr>
      </w:pPr>
    </w:p>
    <w:p>
      <w:pPr>
        <w:ind w:left="1000" w:hanging="483"/>
        <w:spacing w:after="0"/>
        <w:tabs>
          <w:tab w:leader="none" w:pos="1000" w:val="left"/>
        </w:tabs>
        <w:numPr>
          <w:ilvl w:val="0"/>
          <w:numId w:val="14"/>
        </w:numPr>
        <w:rPr>
          <w:rFonts w:ascii="Times New Roman" w:cs="Times New Roman" w:eastAsia="Times New Roman" w:hAnsi="Times New Roman"/>
          <w:sz w:val="16"/>
          <w:szCs w:val="16"/>
          <w:color w:val="231F20"/>
        </w:rPr>
      </w:pPr>
      <w:r>
        <w:rPr>
          <w:rFonts w:ascii="Arial" w:cs="Arial" w:eastAsia="Arial" w:hAnsi="Arial"/>
          <w:sz w:val="16"/>
          <w:szCs w:val="16"/>
          <w:color w:val="231F20"/>
        </w:rPr>
        <w:t>The potential effects of tariffs on the demand for our advertising services; and</w:t>
      </w:r>
    </w:p>
    <w:p>
      <w:pPr>
        <w:spacing w:after="0" w:line="98" w:lineRule="exact"/>
        <w:rPr>
          <w:rFonts w:ascii="Times New Roman" w:cs="Times New Roman" w:eastAsia="Times New Roman" w:hAnsi="Times New Roman"/>
          <w:sz w:val="16"/>
          <w:szCs w:val="16"/>
          <w:color w:val="231F20"/>
        </w:rPr>
      </w:pPr>
    </w:p>
    <w:p>
      <w:pPr>
        <w:ind w:left="1000" w:right="420" w:hanging="483"/>
        <w:spacing w:after="0" w:line="266" w:lineRule="auto"/>
        <w:tabs>
          <w:tab w:leader="none" w:pos="1000" w:val="left"/>
        </w:tabs>
        <w:numPr>
          <w:ilvl w:val="0"/>
          <w:numId w:val="14"/>
        </w:numPr>
        <w:rPr>
          <w:rFonts w:ascii="Times New Roman" w:cs="Times New Roman" w:eastAsia="Times New Roman" w:hAnsi="Times New Roman"/>
          <w:sz w:val="16"/>
          <w:szCs w:val="16"/>
          <w:color w:val="231F20"/>
        </w:rPr>
      </w:pPr>
      <w:r>
        <w:rPr>
          <w:rFonts w:ascii="Arial" w:cs="Arial" w:eastAsia="Arial" w:hAnsi="Arial"/>
          <w:sz w:val="16"/>
          <w:szCs w:val="16"/>
          <w:color w:val="231F20"/>
        </w:rPr>
        <w:t>Other economic, competitive, governmental, technological and other factors and risks that may affect TEGNA’s operations or financial results, which are discussed in this Quarterly Report on Form 10-Q. Any forward-looking statements in this Quarterly Report on Form 10-Q should be evaluated in light of these important factors.</w:t>
      </w:r>
    </w:p>
    <w:p>
      <w:pPr>
        <w:spacing w:after="0" w:line="211" w:lineRule="exact"/>
        <w:rPr>
          <w:sz w:val="20"/>
          <w:szCs w:val="20"/>
          <w:color w:val="auto"/>
        </w:rPr>
      </w:pPr>
    </w:p>
    <w:p>
      <w:pPr>
        <w:ind w:right="120" w:firstLine="374"/>
        <w:spacing w:after="0" w:line="266" w:lineRule="auto"/>
        <w:rPr>
          <w:sz w:val="20"/>
          <w:szCs w:val="20"/>
          <w:color w:val="auto"/>
        </w:rPr>
      </w:pPr>
      <w:r>
        <w:rPr>
          <w:rFonts w:ascii="Arial" w:cs="Arial" w:eastAsia="Arial" w:hAnsi="Arial"/>
          <w:sz w:val="16"/>
          <w:szCs w:val="16"/>
          <w:color w:val="231F20"/>
        </w:rPr>
        <w:t>T</w:t>
      </w:r>
      <w:r>
        <w:rPr>
          <w:rFonts w:ascii="Arial" w:cs="Arial" w:eastAsia="Arial" w:hAnsi="Arial"/>
          <w:sz w:val="16"/>
          <w:szCs w:val="16"/>
          <w:color w:val="000000"/>
        </w:rPr>
        <w:t>he list of factors above is illustrative, but by no means exhaustive. All forward-looking statements should be evaluated with the understanding of their</w:t>
      </w:r>
      <w:r>
        <w:rPr>
          <w:rFonts w:ascii="Arial" w:cs="Arial" w:eastAsia="Arial" w:hAnsi="Arial"/>
          <w:sz w:val="16"/>
          <w:szCs w:val="16"/>
          <w:color w:val="231F20"/>
        </w:rPr>
        <w:t xml:space="preserve"> </w:t>
      </w:r>
      <w:r>
        <w:rPr>
          <w:rFonts w:ascii="Arial" w:cs="Arial" w:eastAsia="Arial" w:hAnsi="Arial"/>
          <w:sz w:val="16"/>
          <w:szCs w:val="16"/>
          <w:color w:val="000000"/>
        </w:rPr>
        <w:t>inherent uncertainty. All subsequent written and oral forward-looking statements concerning the matters ad</w:t>
      </w:r>
      <w:r>
        <w:rPr>
          <w:rFonts w:ascii="Arial" w:cs="Arial" w:eastAsia="Arial" w:hAnsi="Arial"/>
          <w:sz w:val="16"/>
          <w:szCs w:val="16"/>
          <w:color w:val="231F20"/>
        </w:rPr>
        <w:t>dressed in this Quarterly Report on Form 10-Q</w:t>
      </w:r>
      <w:r>
        <w:rPr>
          <w:rFonts w:ascii="Arial" w:cs="Arial" w:eastAsia="Arial" w:hAnsi="Arial"/>
          <w:sz w:val="16"/>
          <w:szCs w:val="16"/>
          <w:color w:val="000000"/>
        </w:rPr>
        <w:t xml:space="preserve"> </w:t>
      </w:r>
      <w:r>
        <w:rPr>
          <w:rFonts w:ascii="Arial" w:cs="Arial" w:eastAsia="Arial" w:hAnsi="Arial"/>
          <w:sz w:val="16"/>
          <w:szCs w:val="16"/>
          <w:color w:val="231F20"/>
        </w:rPr>
        <w:t>and attributable to us or any person acting on our behalf are qualified by these cautionary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quantitative and qualitative disclosures about market risk, refer to the following section of our 2024 Annual Report on Form 10-K: “Item 7A.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Quantitative and Qualitative Disclosures about Market Risk.” Our exposures to market risk have not changed materially since December 31, 2024.</w:t>
      </w:r>
    </w:p>
    <w:p>
      <w:pPr>
        <w:spacing w:after="0" w:line="111" w:lineRule="exact"/>
        <w:rPr>
          <w:sz w:val="20"/>
          <w:szCs w:val="20"/>
          <w:color w:val="auto"/>
        </w:rPr>
      </w:pPr>
    </w:p>
    <w:p>
      <w:pPr>
        <w:ind w:right="20" w:firstLine="374"/>
        <w:spacing w:after="0" w:line="266" w:lineRule="auto"/>
        <w:rPr>
          <w:sz w:val="20"/>
          <w:szCs w:val="20"/>
          <w:color w:val="auto"/>
        </w:rPr>
      </w:pPr>
      <w:r>
        <w:rPr>
          <w:rFonts w:ascii="Arial" w:cs="Arial" w:eastAsia="Arial" w:hAnsi="Arial"/>
          <w:sz w:val="16"/>
          <w:szCs w:val="16"/>
          <w:color w:val="auto"/>
        </w:rPr>
        <w:t>As of September 30, 2025, we did not have any floating interest obligations outstanding and had unused borrowing capacity of $738.2 million under our $750 million revolving credit facility, which expires in January 2029. Any amounts borrowed under the revolving credit facility in the future are subject to a variable rate. Refer to Note 8 to the condensed consolidated financial statements for information regarding the fair value of our long-term debt.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27" w:lineRule="exact"/>
        <w:rPr>
          <w:sz w:val="20"/>
          <w:szCs w:val="20"/>
          <w:color w:val="auto"/>
        </w:rPr>
      </w:pPr>
    </w:p>
    <w:p>
      <w:pPr>
        <w:ind w:right="100" w:firstLine="374"/>
        <w:spacing w:after="0" w:line="256"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the effectiveness of the Company’s disclosure controls and procedures as of September 30, 2025. Based on that evaluation, our principal executive officer and principal financial officer concluded that our disclosure controls and procedures are effective, as of September 30, 2025, to ensure that information required to be disclosed in the reports that we file or submit under the Securities Exchange Act of 1934 are recorded, processed, summarized and reported within the time periods specified in the Securities and Exchange Commission’s rules and forms.</w:t>
      </w:r>
    </w:p>
    <w:p>
      <w:pPr>
        <w:spacing w:after="0" w:line="85" w:lineRule="exact"/>
        <w:rPr>
          <w:sz w:val="20"/>
          <w:szCs w:val="20"/>
          <w:color w:val="auto"/>
        </w:rPr>
      </w:pPr>
    </w:p>
    <w:p>
      <w:pPr>
        <w:ind w:firstLine="374"/>
        <w:spacing w:after="0" w:line="286" w:lineRule="auto"/>
        <w:rPr>
          <w:sz w:val="20"/>
          <w:szCs w:val="20"/>
          <w:color w:val="auto"/>
        </w:rPr>
      </w:pPr>
      <w:r>
        <w:rPr>
          <w:rFonts w:ascii="Arial" w:cs="Arial" w:eastAsia="Arial" w:hAnsi="Arial"/>
          <w:sz w:val="16"/>
          <w:szCs w:val="16"/>
          <w:color w:val="auto"/>
        </w:rPr>
        <w:t>There have been no material changes in our internal controls or in other factors during the fiscal quarter that have materially affected, or are reasonably likely to materially affect, our internal controls over financial reporting.</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See Note 10 to the condensed consolidated financial statements for information regarding our legal proceedings.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Item 1A. Risk Factors</w:t>
      </w:r>
    </w:p>
    <w:p>
      <w:pPr>
        <w:spacing w:after="0" w:line="127" w:lineRule="exact"/>
        <w:rPr>
          <w:sz w:val="20"/>
          <w:szCs w:val="20"/>
          <w:color w:val="auto"/>
        </w:rPr>
      </w:pPr>
    </w:p>
    <w:p>
      <w:pPr>
        <w:ind w:right="40" w:firstLine="374"/>
        <w:spacing w:after="0" w:line="256" w:lineRule="auto"/>
        <w:rPr>
          <w:sz w:val="20"/>
          <w:szCs w:val="20"/>
          <w:color w:val="auto"/>
        </w:rPr>
      </w:pPr>
      <w:r>
        <w:rPr>
          <w:rFonts w:ascii="Arial" w:cs="Arial" w:eastAsia="Arial" w:hAnsi="Arial"/>
          <w:sz w:val="16"/>
          <w:szCs w:val="16"/>
          <w:color w:val="auto"/>
        </w:rPr>
        <w:t>While we attempt to identify, manage and mitigate risks and uncertainties associated with our business, some level of risk and uncertainty will always be present. “Item 1A. Risk Factors” of our 2024 Annual Report on Form 10-K describes the risks and uncertainties that we believe may have the potential to materially affect our business, results of operations, financial condition, cash flows, projected results and future prospects. We do not believe that there have been any material changes from the risk factors previously disclosed in our 2024 Annual Report on Form 10-K, except that we have identified the following additional risk factors: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imposition of tariffs may negatively impact the demand for advertising</w:t>
      </w:r>
    </w:p>
    <w:p>
      <w:pPr>
        <w:spacing w:after="0" w:line="127" w:lineRule="exact"/>
        <w:rPr>
          <w:sz w:val="20"/>
          <w:szCs w:val="20"/>
          <w:color w:val="auto"/>
        </w:rPr>
      </w:pPr>
    </w:p>
    <w:p>
      <w:pPr>
        <w:ind w:right="280" w:firstLine="374"/>
        <w:spacing w:after="0" w:line="254" w:lineRule="auto"/>
        <w:rPr>
          <w:sz w:val="20"/>
          <w:szCs w:val="20"/>
          <w:color w:val="auto"/>
        </w:rPr>
      </w:pPr>
      <w:r>
        <w:rPr>
          <w:rFonts w:ascii="Arial" w:cs="Arial" w:eastAsia="Arial" w:hAnsi="Arial"/>
          <w:sz w:val="16"/>
          <w:szCs w:val="16"/>
          <w:color w:val="auto"/>
        </w:rPr>
        <w:t>Recently, the U.S. government has imposed tariffs on certain foreign goods and has raised the possibility of imposing significant, additional tariff increases or expanding the tariffs to include other countries and types of foreign goods. In response to these tariffs, other countries have implemented retaliatory tariffs on U.S. goods. Any such current and future tariff increases, expanding the scope of tariffs to capture other countries and types of foreign goods, other changes in U.S. trade policy or the imposition of retaliatory tariffs may adversely affect the businesses of our current and prospective customers, which could result in reduced advertising spend. Furthermore, political tensions as a result of trade policies could reduce trade volume, investment, technological exchange, and other economic activities between major international economies, which could also reduce advertising spend.</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the Merger</w:t>
      </w:r>
    </w:p>
    <w:p>
      <w:pPr>
        <w:spacing w:after="0" w:line="154" w:lineRule="exact"/>
        <w:rPr>
          <w:sz w:val="20"/>
          <w:szCs w:val="20"/>
          <w:color w:val="auto"/>
        </w:rPr>
      </w:pPr>
    </w:p>
    <w:p>
      <w:pPr>
        <w:ind w:right="40" w:firstLine="374"/>
        <w:spacing w:after="0" w:line="286" w:lineRule="auto"/>
        <w:rPr>
          <w:sz w:val="20"/>
          <w:szCs w:val="20"/>
          <w:color w:val="auto"/>
        </w:rPr>
      </w:pPr>
      <w:r>
        <w:rPr>
          <w:rFonts w:ascii="Arial" w:cs="Arial" w:eastAsia="Arial" w:hAnsi="Arial"/>
          <w:sz w:val="16"/>
          <w:szCs w:val="16"/>
          <w:color w:val="auto"/>
        </w:rPr>
        <w:t>On August 18, 2025, TEGNA Inc. entered into an Agreement and Plan of Merger (the "Merger Agreement"), with Nexstar Media Group, Inc. ("Nexstar") and Teton Merger Sub, Inc. a wholly owned subsidiary of Nexstar (the "Merger").</w:t>
      </w:r>
    </w:p>
    <w:p>
      <w:pPr>
        <w:spacing w:after="0" w:line="8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are risk factors related to the Merger:</w:t>
      </w:r>
    </w:p>
    <w:p>
      <w:pPr>
        <w:spacing w:after="0" w:line="140"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b w:val="1"/>
          <w:bCs w:val="1"/>
          <w:color w:val="auto"/>
        </w:rPr>
        <w:t>The Merger is subject to receipt of approval from our shareholders as well as the satisfaction of other closing conditions, including conditions that may not be satisfied or completed on a timely basis, if at all.</w:t>
      </w:r>
    </w:p>
    <w:p>
      <w:pPr>
        <w:spacing w:after="0" w:line="73" w:lineRule="exact"/>
        <w:rPr>
          <w:sz w:val="20"/>
          <w:szCs w:val="20"/>
          <w:color w:val="auto"/>
        </w:rPr>
      </w:pPr>
    </w:p>
    <w:p>
      <w:pPr>
        <w:ind w:firstLine="374"/>
        <w:spacing w:after="0" w:line="249" w:lineRule="auto"/>
        <w:rPr>
          <w:sz w:val="20"/>
          <w:szCs w:val="20"/>
          <w:color w:val="auto"/>
        </w:rPr>
      </w:pPr>
      <w:r>
        <w:rPr>
          <w:rFonts w:ascii="Arial" w:cs="Arial" w:eastAsia="Arial" w:hAnsi="Arial"/>
          <w:sz w:val="16"/>
          <w:szCs w:val="16"/>
          <w:color w:val="auto"/>
        </w:rPr>
        <w:t>The consummation of the Merger is subject to a number of important closing conditions that make the closing and timing of the Merger uncertain. The conditions include, among others, (i) the approval of the Merger Agreement by the holders of at least a majority of the outstanding shares of our common stock entitled to vote thereon; (ii) the absence of any order, writ, injunction, judgment, decree or ruling by a court of competent jurisdiction in the United States or law in the United States having been adopted prohibiting the consummation of the Merger; (iii) the expiration or termination of the waiting period applicable to the Merger under the Hart-Scott-Rodino Antitrust Improvements Act of 1976, as amended, and under any agreement with a governmental entity not to consummate the transactions contemplated by the Merger Agreement that was entered into with the prior written consent of each of Nexstar and the Company; (iv) the grant by the FCC of applications required to be filed with the FCC to obtain the approvals of the FCC pursuant to the Communications Act of 1934, including the Telecommunications Act of 1996; (v) the accuracy of the representations and warranties contained in the Merger Agreement (subject to certain materiality qualifiers); (vi) the performance and compliance in all material respects by the parties of their respective covenants required by the Merger Agreement to be performed or complied with by such party prior to the effective time of the Merger (the Effective Time); and (vii) the absence, since June 30, 2025, of any “Company Material Adverse Effect” (as defined in the Merger Agreement) that is continuing. We can provide no assurance that all required consents and approvals will be obtained or that all closing conditions will otherwise be satisfied (or waived, if applicable), and, if all required consents and approvals are obtained and all closing conditions are satisfied (or waived, if applicable), we can provide no assurance as to the terms, conditions and timing of such consents and approvals or the timing of the completion of the Merger. Many of the conditions to completion of the Merger are not within either our or Nexstar's control, and neither us nor Nexstar can predict when or if these conditions will be satisfied (or waived, if applicable). Any delay in completing the Merger could cause us not to realize some or all of the benefits that we expect to achieve if the Merger is successfully completed within its expected timeframe.</w:t>
      </w:r>
    </w:p>
    <w:p>
      <w:pPr>
        <w:spacing w:after="0" w:line="116" w:lineRule="exact"/>
        <w:rPr>
          <w:sz w:val="20"/>
          <w:szCs w:val="20"/>
          <w:color w:val="auto"/>
        </w:rPr>
      </w:pPr>
    </w:p>
    <w:p>
      <w:pPr>
        <w:ind w:right="320"/>
        <w:spacing w:after="0" w:line="296" w:lineRule="auto"/>
        <w:rPr>
          <w:sz w:val="20"/>
          <w:szCs w:val="20"/>
          <w:color w:val="auto"/>
        </w:rPr>
      </w:pPr>
      <w:r>
        <w:rPr>
          <w:rFonts w:ascii="Arial" w:cs="Arial" w:eastAsia="Arial" w:hAnsi="Arial"/>
          <w:sz w:val="16"/>
          <w:szCs w:val="16"/>
          <w:b w:val="1"/>
          <w:bCs w:val="1"/>
          <w:color w:val="auto"/>
        </w:rPr>
        <w:t>Failure to complete the Merger in a timely manner, or at all, could negatively impact our future business and our financial condition, results of operations and cash flows.</w:t>
      </w:r>
    </w:p>
    <w:p>
      <w:pPr>
        <w:spacing w:after="0" w:line="59" w:lineRule="exact"/>
        <w:rPr>
          <w:sz w:val="20"/>
          <w:szCs w:val="20"/>
          <w:color w:val="auto"/>
        </w:rPr>
      </w:pPr>
    </w:p>
    <w:p>
      <w:pPr>
        <w:ind w:right="20" w:firstLine="374"/>
        <w:spacing w:after="0" w:line="259" w:lineRule="auto"/>
        <w:rPr>
          <w:sz w:val="20"/>
          <w:szCs w:val="20"/>
          <w:color w:val="auto"/>
        </w:rPr>
      </w:pPr>
      <w:r>
        <w:rPr>
          <w:rFonts w:ascii="Arial" w:cs="Arial" w:eastAsia="Arial" w:hAnsi="Arial"/>
          <w:sz w:val="16"/>
          <w:szCs w:val="16"/>
          <w:color w:val="auto"/>
        </w:rPr>
        <w:t>If the Merger is not completed for any reason, including as a result of our shareholders failing to adopt the Merger Agreement, our shareholders will not receive any payment for their shares in connection with the Merger. Instead, TEGNA will remain an independent public company, and its shares will continue to be traded on the New York Stock Exchange. Moreover, our ongoing business may be materially adversely affected and we would be subject to a number of risks, including the following:</w:t>
      </w:r>
    </w:p>
    <w:p>
      <w:pPr>
        <w:spacing w:after="0" w:line="110" w:lineRule="exact"/>
        <w:rPr>
          <w:sz w:val="20"/>
          <w:szCs w:val="20"/>
          <w:color w:val="auto"/>
        </w:rPr>
      </w:pPr>
    </w:p>
    <w:p>
      <w:pPr>
        <w:ind w:left="1020" w:right="280" w:hanging="503"/>
        <w:spacing w:after="0" w:line="285" w:lineRule="auto"/>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we may experience negative reactions from the financial markets, including negative impacts on our stock price, and it is uncertain when, if ever, the price of the shares would return to the prices at which the shares currently trade;</w:t>
      </w:r>
    </w:p>
    <w:p>
      <w:pPr>
        <w:spacing w:after="0" w:line="48" w:lineRule="exact"/>
        <w:rPr>
          <w:rFonts w:ascii="Times New Roman" w:cs="Times New Roman" w:eastAsia="Times New Roman" w:hAnsi="Times New Roman"/>
          <w:sz w:val="16"/>
          <w:szCs w:val="16"/>
          <w:color w:val="auto"/>
        </w:rPr>
      </w:pPr>
    </w:p>
    <w:p>
      <w:pPr>
        <w:ind w:left="1020" w:right="40" w:hanging="503"/>
        <w:spacing w:after="0" w:line="266" w:lineRule="auto"/>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we may experience negative publicity, which could have an adverse effect on our ongoing operations including, but not limited to, retaining and attracting employees, distribution partners, content partners, business clients, customers, providers, advertisers and others with whom we do business;</w:t>
      </w:r>
    </w:p>
    <w:p>
      <w:pPr>
        <w:spacing w:after="0" w:line="62" w:lineRule="exact"/>
        <w:rPr>
          <w:rFonts w:ascii="Times New Roman" w:cs="Times New Roman" w:eastAsia="Times New Roman" w:hAnsi="Times New Roman"/>
          <w:sz w:val="16"/>
          <w:szCs w:val="16"/>
          <w:color w:val="auto"/>
        </w:rPr>
      </w:pPr>
    </w:p>
    <w:p>
      <w:pPr>
        <w:ind w:left="1020" w:right="220" w:hanging="503"/>
        <w:spacing w:after="0" w:line="285" w:lineRule="auto"/>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we may still be required to pay certain significant costs relating to the Merger, such as legal, accounting, financial advisor, printing and other professional services fees, which may relate to activities that we would not have undertaken other than in connection with the Merger;</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we may be required to pay a cash termination fee as required under the Merger Agreement;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9" w:name="page30"/>
    <w:bookmarkEnd w:id="29"/>
    <w:p>
      <w:pPr>
        <w:ind w:left="1020" w:right="20" w:hanging="503"/>
        <w:spacing w:after="0" w:line="285" w:lineRule="auto"/>
        <w:tabs>
          <w:tab w:leader="none" w:pos="102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we may miss the opportunity to take advantage of certain business opportunities that are restricted by the terms of the Merger Agreement and that we may have otherwise pursued absent those restrictions;</w:t>
      </w:r>
    </w:p>
    <w:p>
      <w:pPr>
        <w:spacing w:after="0" w:line="48" w:lineRule="exact"/>
        <w:rPr>
          <w:rFonts w:ascii="Times New Roman" w:cs="Times New Roman" w:eastAsia="Times New Roman" w:hAnsi="Times New Roman"/>
          <w:sz w:val="16"/>
          <w:szCs w:val="16"/>
          <w:color w:val="auto"/>
        </w:rPr>
      </w:pPr>
    </w:p>
    <w:p>
      <w:pPr>
        <w:ind w:left="1020" w:right="280" w:hanging="503"/>
        <w:spacing w:after="0" w:line="285" w:lineRule="auto"/>
        <w:tabs>
          <w:tab w:leader="none" w:pos="102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because matters relating to the Merger require substantial commitments of time and resources by our management, we may also miss the chance to pursue other opportunities that could have been beneficial to us; and</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we may be subject to litigation related to our failure to consummate the Merger.</w:t>
      </w:r>
    </w:p>
    <w:p>
      <w:pPr>
        <w:spacing w:after="0" w:line="355" w:lineRule="exact"/>
        <w:rPr>
          <w:sz w:val="20"/>
          <w:szCs w:val="20"/>
          <w:color w:val="auto"/>
        </w:rPr>
      </w:pPr>
    </w:p>
    <w:p>
      <w:pPr>
        <w:ind w:right="40" w:firstLine="374"/>
        <w:spacing w:after="0" w:line="266" w:lineRule="auto"/>
        <w:rPr>
          <w:sz w:val="20"/>
          <w:szCs w:val="20"/>
          <w:color w:val="auto"/>
        </w:rPr>
      </w:pPr>
      <w:r>
        <w:rPr>
          <w:rFonts w:ascii="Arial" w:cs="Arial" w:eastAsia="Arial" w:hAnsi="Arial"/>
          <w:sz w:val="16"/>
          <w:szCs w:val="16"/>
          <w:color w:val="auto"/>
        </w:rPr>
        <w:t>If the Merger is not consummated, the risks described above may materialize and they may have a material adverse effect on our business operations, financial results and stock price, especially to the extent that the current market price of our common stock reflects an assumption that the Merger will be completed.</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restrictions in the Merger Agreement that may hinder operations pending the consummation of the Merger.</w:t>
      </w:r>
    </w:p>
    <w:p>
      <w:pPr>
        <w:spacing w:after="0" w:line="140" w:lineRule="exact"/>
        <w:rPr>
          <w:sz w:val="20"/>
          <w:szCs w:val="20"/>
          <w:color w:val="auto"/>
        </w:rPr>
      </w:pPr>
    </w:p>
    <w:p>
      <w:pPr>
        <w:ind w:right="80" w:firstLine="374"/>
        <w:spacing w:after="0" w:line="259" w:lineRule="auto"/>
        <w:rPr>
          <w:sz w:val="20"/>
          <w:szCs w:val="20"/>
          <w:color w:val="auto"/>
        </w:rPr>
      </w:pPr>
      <w:r>
        <w:rPr>
          <w:rFonts w:ascii="Arial" w:cs="Arial" w:eastAsia="Arial" w:hAnsi="Arial"/>
          <w:sz w:val="16"/>
          <w:szCs w:val="16"/>
          <w:color w:val="auto"/>
        </w:rPr>
        <w:t>The Merger Agreement generally requires us to use reasonable best efforts to conduct our operations in all material respects in the ordinary course of business pending consummation of the Merger and restricts us, without Nexstar’s consent, from taking certain specified actions until the Merger is completed, subject to certain exceptions. These restrictions may affect our ability to execute our business strategies and attain our financial and other goals and may impact our financial condition, results of operations and cash flows.</w:t>
      </w:r>
    </w:p>
    <w:p>
      <w:pPr>
        <w:spacing w:after="0" w:line="110" w:lineRule="exact"/>
        <w:rPr>
          <w:sz w:val="20"/>
          <w:szCs w:val="20"/>
          <w:color w:val="auto"/>
        </w:rPr>
      </w:pPr>
    </w:p>
    <w:p>
      <w:pPr>
        <w:jc w:val="both"/>
        <w:ind w:right="160" w:firstLine="374"/>
        <w:spacing w:after="0" w:line="266" w:lineRule="auto"/>
        <w:rPr>
          <w:sz w:val="20"/>
          <w:szCs w:val="20"/>
          <w:color w:val="auto"/>
        </w:rPr>
      </w:pPr>
      <w:r>
        <w:rPr>
          <w:rFonts w:ascii="Arial" w:cs="Arial" w:eastAsia="Arial" w:hAnsi="Arial"/>
          <w:sz w:val="16"/>
          <w:szCs w:val="16"/>
          <w:color w:val="auto"/>
        </w:rPr>
        <w:t>These restrictions could be in place for an extended period of time if the consummation of the Merger is delayed, which may delay or prevent us from undertaking business opportunities that, absent the Merger Agreement, we might have pursued, or from effectively responding to competitive pressures or industry developments.</w:t>
      </w:r>
    </w:p>
    <w:p>
      <w:pPr>
        <w:spacing w:after="0" w:line="104" w:lineRule="exact"/>
        <w:rPr>
          <w:sz w:val="20"/>
          <w:szCs w:val="20"/>
          <w:color w:val="auto"/>
        </w:rPr>
      </w:pPr>
    </w:p>
    <w:p>
      <w:pPr>
        <w:ind w:right="80" w:firstLine="374"/>
        <w:spacing w:after="0" w:line="286" w:lineRule="auto"/>
        <w:rPr>
          <w:sz w:val="20"/>
          <w:szCs w:val="20"/>
          <w:color w:val="auto"/>
        </w:rPr>
      </w:pPr>
      <w:r>
        <w:rPr>
          <w:rFonts w:ascii="Arial" w:cs="Arial" w:eastAsia="Arial" w:hAnsi="Arial"/>
          <w:sz w:val="16"/>
          <w:szCs w:val="16"/>
          <w:color w:val="auto"/>
        </w:rPr>
        <w:t>Whether or not the Merger is completed, the pending Merger may disrupt our current plans and operations, which could have an adverse effect on our business and financial results. For these and other reasons, the pendency of the Merger could adversely affect our business and financial results.</w:t>
      </w:r>
    </w:p>
    <w:p>
      <w:pPr>
        <w:spacing w:after="0" w:line="75" w:lineRule="exact"/>
        <w:rPr>
          <w:sz w:val="20"/>
          <w:szCs w:val="20"/>
          <w:color w:val="auto"/>
        </w:rPr>
      </w:pPr>
    </w:p>
    <w:p>
      <w:pPr>
        <w:ind w:right="400"/>
        <w:spacing w:after="0" w:line="296" w:lineRule="auto"/>
        <w:rPr>
          <w:sz w:val="20"/>
          <w:szCs w:val="20"/>
          <w:color w:val="auto"/>
        </w:rPr>
      </w:pPr>
      <w:r>
        <w:rPr>
          <w:rFonts w:ascii="Arial" w:cs="Arial" w:eastAsia="Arial" w:hAnsi="Arial"/>
          <w:sz w:val="16"/>
          <w:szCs w:val="16"/>
          <w:b w:val="1"/>
          <w:bCs w:val="1"/>
          <w:color w:val="auto"/>
        </w:rPr>
        <w:t>We will be subject to various uncertainties while the Merger is pending that may cause disruption and may make it more difficult to maintain relationships with employees, clients, customers, and others with whom we do business.</w:t>
      </w:r>
    </w:p>
    <w:p>
      <w:pPr>
        <w:spacing w:after="0" w:line="73" w:lineRule="exact"/>
        <w:rPr>
          <w:sz w:val="20"/>
          <w:szCs w:val="20"/>
          <w:color w:val="auto"/>
        </w:rPr>
      </w:pPr>
    </w:p>
    <w:p>
      <w:pPr>
        <w:ind w:right="40" w:firstLine="374"/>
        <w:spacing w:after="0" w:line="254" w:lineRule="auto"/>
        <w:rPr>
          <w:sz w:val="20"/>
          <w:szCs w:val="20"/>
          <w:color w:val="auto"/>
        </w:rPr>
      </w:pPr>
      <w:r>
        <w:rPr>
          <w:rFonts w:ascii="Arial" w:cs="Arial" w:eastAsia="Arial" w:hAnsi="Arial"/>
          <w:sz w:val="16"/>
          <w:szCs w:val="16"/>
          <w:color w:val="auto"/>
        </w:rPr>
        <w:t>In connection with the proposed Merger, our current and prospective employees may experience uncertainty about their future roles with the combined company following the Merger, which may materially adversely affect our ability to attract and retain key personnel while the Merger is pending. Key employees may depart because of issues relating to the uncertainty and difficulty of integration or a desire not to remain with the combined company following the Merger. Accordingly, no assurance can be given that we will be able to attract and retain key employees to the same extent that we have been able to in the past. If we do not succeed in attracting, hiring, and integrating excellent personnel, or retaining and motivating existing personnel, we may be unable to grow and operate our business effectively.</w:t>
      </w:r>
    </w:p>
    <w:p>
      <w:pPr>
        <w:spacing w:after="0" w:line="114" w:lineRule="exact"/>
        <w:rPr>
          <w:sz w:val="20"/>
          <w:szCs w:val="20"/>
          <w:color w:val="auto"/>
        </w:rPr>
      </w:pPr>
    </w:p>
    <w:p>
      <w:pPr>
        <w:ind w:firstLine="374"/>
        <w:spacing w:after="0" w:line="254" w:lineRule="auto"/>
        <w:rPr>
          <w:sz w:val="20"/>
          <w:szCs w:val="20"/>
          <w:color w:val="auto"/>
        </w:rPr>
      </w:pPr>
      <w:r>
        <w:rPr>
          <w:rFonts w:ascii="Arial" w:cs="Arial" w:eastAsia="Arial" w:hAnsi="Arial"/>
          <w:sz w:val="16"/>
          <w:szCs w:val="16"/>
          <w:color w:val="auto"/>
        </w:rPr>
        <w:t>The proposed Merger further could cause disruptions to our business or business relationships, which could have an adverse impact on our results of operations. Parties with which we have business relationships may experience uncertainty as to the future of such relationships and may delay or defer certain business decisions, seek alternative relationships with third parties or seek to alter their present business relationships with us. Parties with which we otherwise may have sought to establish business relationships may seek alternative relationships with third parties. The pursuit of the Merger and the preparation for the integration may also place a significant burden on management and internal resources. The diversion of management’s attention away from day-to-day business concerns could adversely affect our financial results.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Merger Agreement contains a termination fee and restriction on solicitation that limit TEGNA's ability to pursue alternatives to the Merger.</w:t>
      </w:r>
    </w:p>
    <w:p>
      <w:pPr>
        <w:spacing w:after="0" w:line="154" w:lineRule="exact"/>
        <w:rPr>
          <w:sz w:val="20"/>
          <w:szCs w:val="20"/>
          <w:color w:val="auto"/>
        </w:rPr>
      </w:pPr>
    </w:p>
    <w:p>
      <w:pPr>
        <w:ind w:right="140" w:firstLine="374"/>
        <w:spacing w:after="0" w:line="259" w:lineRule="auto"/>
        <w:rPr>
          <w:sz w:val="20"/>
          <w:szCs w:val="20"/>
          <w:color w:val="auto"/>
        </w:rPr>
      </w:pPr>
      <w:r>
        <w:rPr>
          <w:rFonts w:ascii="Arial" w:cs="Arial" w:eastAsia="Arial" w:hAnsi="Arial"/>
          <w:sz w:val="16"/>
          <w:szCs w:val="16"/>
          <w:color w:val="auto"/>
        </w:rPr>
        <w:t>The Merger Agreement contains certain customary restrictions on our ability to solicit proposals from third parties for an acquisition of TEGNA prior to obtaining the approval of the Merger Agreement from our shareholders. In addition, subject to certain customary “fiduciary out” exceptions, the Board of Directors is required to recommend that our shareholders vote in favor of the approval of the Merger, the Merger Agreement and the transactions contemplated thereby.</w:t>
      </w:r>
    </w:p>
    <w:p>
      <w:pPr>
        <w:spacing w:after="0" w:line="110" w:lineRule="exact"/>
        <w:rPr>
          <w:sz w:val="20"/>
          <w:szCs w:val="20"/>
          <w:color w:val="auto"/>
        </w:rPr>
      </w:pPr>
    </w:p>
    <w:p>
      <w:pPr>
        <w:ind w:right="160" w:firstLine="374"/>
        <w:spacing w:after="0" w:line="286" w:lineRule="auto"/>
        <w:rPr>
          <w:sz w:val="20"/>
          <w:szCs w:val="20"/>
          <w:color w:val="auto"/>
        </w:rPr>
      </w:pPr>
      <w:r>
        <w:rPr>
          <w:rFonts w:ascii="Arial" w:cs="Arial" w:eastAsia="Arial" w:hAnsi="Arial"/>
          <w:sz w:val="16"/>
          <w:szCs w:val="16"/>
          <w:color w:val="auto"/>
        </w:rPr>
        <w:t>We may, under certain circumstances, be obligated to pay a termination fee to Nexstar and/or reimburse Nexstar for its expenses. These costs could require us to use cash that would have otherwise been available for other uses.</w:t>
      </w:r>
    </w:p>
    <w:p>
      <w:pPr>
        <w:spacing w:after="0" w:line="75" w:lineRule="exact"/>
        <w:rPr>
          <w:sz w:val="20"/>
          <w:szCs w:val="20"/>
          <w:color w:val="auto"/>
        </w:rPr>
      </w:pPr>
    </w:p>
    <w:p>
      <w:pPr>
        <w:ind w:right="20" w:firstLine="374"/>
        <w:spacing w:after="0" w:line="259" w:lineRule="auto"/>
        <w:rPr>
          <w:sz w:val="20"/>
          <w:szCs w:val="20"/>
          <w:color w:val="auto"/>
        </w:rPr>
      </w:pPr>
      <w:r>
        <w:rPr>
          <w:rFonts w:ascii="Arial" w:cs="Arial" w:eastAsia="Arial" w:hAnsi="Arial"/>
          <w:sz w:val="16"/>
          <w:szCs w:val="16"/>
          <w:color w:val="auto"/>
        </w:rPr>
        <w:t>These provisions might discourage an otherwise-interested third party from considering or proposing an acquisition of TEGNA, including proposals that may be deemed to offer greater value to our shareholders than as provided in the Merger Agreement. Furthermore, even if a third party elects to propose an acquisition, the requirement that we must pay a termination fee to accept any such proposal may cause that third party to offer a lower price to our stockholders than such third party might otherwise have offered.</w:t>
      </w: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30" w:name="page31"/>
    <w:bookmarkEnd w:id="30"/>
    <w:p>
      <w:pPr>
        <w:ind w:right="340"/>
        <w:spacing w:after="0" w:line="296" w:lineRule="auto"/>
        <w:rPr>
          <w:sz w:val="20"/>
          <w:szCs w:val="20"/>
          <w:color w:val="auto"/>
        </w:rPr>
      </w:pPr>
      <w:r>
        <w:rPr>
          <w:rFonts w:ascii="Arial" w:cs="Arial" w:eastAsia="Arial" w:hAnsi="Arial"/>
          <w:sz w:val="16"/>
          <w:szCs w:val="16"/>
          <w:b w:val="1"/>
          <w:bCs w:val="1"/>
          <w:color w:val="auto"/>
        </w:rPr>
        <w:t>Litigation relating to the Merger has been filed against TEGNA and the Board of Directors, and demand letters have been received by TEGNA, which could prevent or delay the completion of the Merger or result in the payment of damages.</w:t>
      </w:r>
    </w:p>
    <w:p>
      <w:pPr>
        <w:spacing w:after="0" w:line="73" w:lineRule="exact"/>
        <w:rPr>
          <w:sz w:val="20"/>
          <w:szCs w:val="20"/>
          <w:color w:val="auto"/>
        </w:rPr>
      </w:pPr>
    </w:p>
    <w:p>
      <w:pPr>
        <w:ind w:right="20" w:firstLine="374"/>
        <w:spacing w:after="0" w:line="250" w:lineRule="auto"/>
        <w:rPr>
          <w:sz w:val="20"/>
          <w:szCs w:val="20"/>
          <w:color w:val="auto"/>
        </w:rPr>
      </w:pPr>
      <w:r>
        <w:rPr>
          <w:rFonts w:ascii="Arial" w:cs="Arial" w:eastAsia="Arial" w:hAnsi="Arial"/>
          <w:sz w:val="16"/>
          <w:szCs w:val="16"/>
          <w:color w:val="auto"/>
        </w:rPr>
        <w:t>As of November 10, 2025, three complaints have been filed by purported stockholders of TEGNA in connection with the Merger: Faul v. TEGNA Inc., et al., No. 25-cv-12161 (filed in the U.S. District Court for the Northern District of Illinois on October 3, 2025), Cohen v. TEGNA Inc., et al., Index No. 659416/2025 (filed in New York County on October 28, 2025), and Brady v. TEGNA Inc., et. al., Index No. 659438/2025 (filed in New York County on October 29, 2025). The complaints generally allege that the preliminary proxy statement filed by TEGNA on September 17, 2025 in connection with the Merger (the “Preliminary Proxy Statement”) or the definitive proxy statement filed by TEGNA on October 10, 2025 in connection with the Merger (the “Definitive Proxy Statement”) include false and misleading information and/or fail to disclose allegedly material information in violation of federal or state law. The complaints seek, among other things, to enjoin TEGNA from consummating the Merger, or in the alternative, rescission of the Merger and/or compensatory damages, as well as attorneys’ and expert fees. In addition to these complaints, TEGNA has received demand letters from counsel representing purported stockholders of TEGNA, alleging similar deficiencies and/or omissions in the Preliminary Proxy Statement or the Definitive Proxy Statement. TEGNA believes that the allegations in these actions are without merit. Additional complaints arising out of the Merger may be filed in the future, and additional demand letters arising out of the Merger may be received in the future.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94"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6"/>
          <w:szCs w:val="16"/>
          <w:color w:val="auto"/>
        </w:rPr>
        <w:t>In December 2023, our Board of Directors authorized the renewal of our share repurchase program for up to $650 million of our common stock through December 31, 2025. We did not repurchase any shares under the repurchase program during the nine months ended September 30, 2025. As of September 30, 2025, $375.2 million of common shares may still be repurchased under this program. Under the terms of the Merger Agreement, TEGNA is not permitted to repurchase its common stock during the pendency of the Merger.</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None.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None.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23"/>
        </w:trPr>
        <w:tc>
          <w:tcPr>
            <w:tcW w:w="1680" w:type="dxa"/>
            <w:vAlign w:val="bottom"/>
            <w:gridSpan w:val="2"/>
          </w:tcPr>
          <w:p>
            <w:pPr>
              <w:spacing w:after="0"/>
              <w:rPr>
                <w:sz w:val="20"/>
                <w:szCs w:val="20"/>
                <w:color w:val="auto"/>
              </w:rPr>
            </w:pPr>
            <w:r>
              <w:rPr>
                <w:rFonts w:ascii="Arial" w:cs="Arial" w:eastAsia="Arial" w:hAnsi="Arial"/>
                <w:sz w:val="16"/>
                <w:szCs w:val="16"/>
                <w:b w:val="1"/>
                <w:bCs w:val="1"/>
                <w:color w:val="auto"/>
              </w:rPr>
              <w:t>Item 6. Exhibits</w:t>
            </w: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45"/>
        </w:trPr>
        <w:tc>
          <w:tcPr>
            <w:tcW w:w="1120" w:type="dxa"/>
            <w:vAlign w:val="bottom"/>
          </w:tcPr>
          <w:p>
            <w:pPr>
              <w:spacing w:after="0"/>
              <w:rPr>
                <w:sz w:val="20"/>
                <w:szCs w:val="20"/>
                <w:color w:val="auto"/>
              </w:rPr>
            </w:pPr>
            <w:r>
              <w:rPr>
                <w:rFonts w:ascii="Arial" w:cs="Arial" w:eastAsia="Arial" w:hAnsi="Arial"/>
                <w:sz w:val="16"/>
                <w:szCs w:val="16"/>
                <w:color w:val="auto"/>
              </w:rPr>
              <w:t>Exhibit Number</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160" w:type="dxa"/>
            <w:vAlign w:val="bottom"/>
            <w:gridSpan w:val="10"/>
          </w:tcPr>
          <w:p>
            <w:pPr>
              <w:spacing w:after="0"/>
              <w:rPr>
                <w:sz w:val="20"/>
                <w:szCs w:val="20"/>
                <w:color w:val="auto"/>
              </w:rPr>
            </w:pPr>
            <w:r>
              <w:rPr>
                <w:rFonts w:ascii="Arial" w:cs="Arial" w:eastAsia="Arial" w:hAnsi="Arial"/>
                <w:sz w:val="16"/>
                <w:szCs w:val="16"/>
                <w:color w:val="auto"/>
              </w:rPr>
              <w:t>Description</w:t>
            </w:r>
          </w:p>
        </w:tc>
      </w:tr>
      <w:tr>
        <w:trPr>
          <w:trHeight w:val="20"/>
        </w:trPr>
        <w:tc>
          <w:tcPr>
            <w:tcW w:w="11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120" w:type="dxa"/>
            <w:vAlign w:val="bottom"/>
          </w:tcPr>
          <w:p>
            <w:pPr>
              <w:ind w:left="20"/>
              <w:spacing w:after="0"/>
              <w:rPr>
                <w:sz w:val="20"/>
                <w:szCs w:val="20"/>
                <w:color w:val="auto"/>
              </w:rPr>
            </w:pPr>
            <w:r>
              <w:rPr>
                <w:rFonts w:ascii="Arial" w:cs="Arial" w:eastAsia="Arial" w:hAnsi="Arial"/>
                <w:sz w:val="16"/>
                <w:szCs w:val="16"/>
                <w:color w:val="auto"/>
              </w:rPr>
              <w:t>2-1</w:t>
            </w:r>
          </w:p>
        </w:tc>
        <w:tc>
          <w:tcPr>
            <w:tcW w:w="560" w:type="dxa"/>
            <w:vAlign w:val="bottom"/>
          </w:tcPr>
          <w:p>
            <w:pPr>
              <w:spacing w:after="0"/>
              <w:rPr>
                <w:sz w:val="24"/>
                <w:szCs w:val="24"/>
                <w:color w:val="auto"/>
              </w:rPr>
            </w:pPr>
          </w:p>
        </w:tc>
        <w:tc>
          <w:tcPr>
            <w:tcW w:w="9540" w:type="dxa"/>
            <w:vAlign w:val="bottom"/>
            <w:gridSpan w:val="17"/>
          </w:tcPr>
          <w:p>
            <w:pPr>
              <w:spacing w:after="0"/>
              <w:rPr>
                <w:rFonts w:ascii="Arial" w:cs="Arial" w:eastAsia="Arial" w:hAnsi="Arial"/>
                <w:sz w:val="16"/>
                <w:szCs w:val="16"/>
                <w:color w:val="0000FF"/>
              </w:rPr>
            </w:pPr>
            <w:hyperlink r:id="rId217">
              <w:r>
                <w:rPr>
                  <w:rFonts w:ascii="Arial" w:cs="Arial" w:eastAsia="Arial" w:hAnsi="Arial"/>
                  <w:sz w:val="16"/>
                  <w:szCs w:val="16"/>
                  <w:color w:val="0000FF"/>
                </w:rPr>
                <w:t>Agreement and Plan of Merger, dated as of August 18, 2025, by and among TEGNA Inc., Nexstar Media Group, Inc. and Teton</w:t>
              </w:r>
            </w:hyperlink>
          </w:p>
        </w:tc>
      </w:tr>
      <w:tr>
        <w:trPr>
          <w:trHeight w:val="169"/>
        </w:trPr>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160" w:type="dxa"/>
            <w:vAlign w:val="bottom"/>
            <w:tcBorders>
              <w:top w:val="single" w:sz="8" w:color="0000FF"/>
            </w:tcBorders>
            <w:gridSpan w:val="14"/>
          </w:tcPr>
          <w:p>
            <w:pPr>
              <w:spacing w:after="0" w:line="169" w:lineRule="exact"/>
              <w:rPr>
                <w:rFonts w:ascii="Arial" w:cs="Arial" w:eastAsia="Arial" w:hAnsi="Arial"/>
                <w:sz w:val="16"/>
                <w:szCs w:val="16"/>
                <w:color w:val="0000FF"/>
              </w:rPr>
            </w:pPr>
            <w:hyperlink r:id="rId217">
              <w:r>
                <w:rPr>
                  <w:rFonts w:ascii="Arial" w:cs="Arial" w:eastAsia="Arial" w:hAnsi="Arial"/>
                  <w:sz w:val="16"/>
                  <w:szCs w:val="16"/>
                  <w:color w:val="0000FF"/>
                </w:rPr>
                <w:t>Merger Sub. Inc. (incorporated by reference to Exhibit 2-1 to TEGNA Inc.'s Form 8-K filed on August 19, 2025).</w:t>
              </w:r>
            </w:hyperlink>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120" w:type="dxa"/>
            <w:vAlign w:val="bottom"/>
          </w:tcPr>
          <w:p>
            <w:pPr>
              <w:ind w:left="20"/>
              <w:spacing w:after="0"/>
              <w:rPr>
                <w:sz w:val="20"/>
                <w:szCs w:val="20"/>
                <w:color w:val="auto"/>
              </w:rPr>
            </w:pPr>
            <w:r>
              <w:rPr>
                <w:rFonts w:ascii="Arial" w:cs="Arial" w:eastAsia="Arial" w:hAnsi="Arial"/>
                <w:sz w:val="16"/>
                <w:szCs w:val="16"/>
                <w:color w:val="auto"/>
              </w:rPr>
              <w:t>3-1</w:t>
            </w:r>
          </w:p>
        </w:tc>
        <w:tc>
          <w:tcPr>
            <w:tcW w:w="560" w:type="dxa"/>
            <w:vAlign w:val="bottom"/>
          </w:tcPr>
          <w:p>
            <w:pPr>
              <w:spacing w:after="0"/>
              <w:rPr>
                <w:sz w:val="24"/>
                <w:szCs w:val="24"/>
                <w:color w:val="auto"/>
              </w:rPr>
            </w:pPr>
          </w:p>
        </w:tc>
        <w:tc>
          <w:tcPr>
            <w:tcW w:w="9540" w:type="dxa"/>
            <w:vAlign w:val="bottom"/>
            <w:gridSpan w:val="17"/>
          </w:tcPr>
          <w:p>
            <w:pPr>
              <w:spacing w:after="0"/>
              <w:rPr>
                <w:rFonts w:ascii="Arial" w:cs="Arial" w:eastAsia="Arial" w:hAnsi="Arial"/>
                <w:sz w:val="16"/>
                <w:szCs w:val="16"/>
                <w:color w:val="0000FF"/>
              </w:rPr>
            </w:pPr>
            <w:hyperlink r:id="rId218">
              <w:r>
                <w:rPr>
                  <w:rFonts w:ascii="Arial" w:cs="Arial" w:eastAsia="Arial" w:hAnsi="Arial"/>
                  <w:sz w:val="16"/>
                  <w:szCs w:val="16"/>
                  <w:color w:val="0000FF"/>
                </w:rPr>
                <w:t>Fifth Restated Certificate of Incorporation of TEGNA Inc. (incorporated by reference to Exhibit 3-1 to TEGNA Inc.’s Form 8-K filed on</w:t>
              </w:r>
            </w:hyperlink>
          </w:p>
        </w:tc>
      </w:tr>
      <w:tr>
        <w:trPr>
          <w:trHeight w:val="169"/>
        </w:trPr>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520" w:type="dxa"/>
            <w:vAlign w:val="bottom"/>
            <w:tcBorders>
              <w:top w:val="single" w:sz="8" w:color="0000FF"/>
            </w:tcBorders>
            <w:gridSpan w:val="16"/>
          </w:tcPr>
          <w:p>
            <w:pPr>
              <w:spacing w:after="0" w:line="169" w:lineRule="exact"/>
              <w:rPr>
                <w:rFonts w:ascii="Arial" w:cs="Arial" w:eastAsia="Arial" w:hAnsi="Arial"/>
                <w:sz w:val="16"/>
                <w:szCs w:val="16"/>
                <w:color w:val="0000FF"/>
              </w:rPr>
            </w:pPr>
            <w:hyperlink r:id="rId218">
              <w:r>
                <w:rPr>
                  <w:rFonts w:ascii="Arial" w:cs="Arial" w:eastAsia="Arial" w:hAnsi="Arial"/>
                  <w:sz w:val="16"/>
                  <w:szCs w:val="16"/>
                  <w:color w:val="0000FF"/>
                </w:rPr>
                <w:t>April 25, 2024).</w:t>
              </w:r>
            </w:hyperlink>
          </w:p>
        </w:tc>
        <w:tc>
          <w:tcPr>
            <w:tcW w:w="20" w:type="dxa"/>
            <w:vAlign w:val="bottom"/>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58"/>
        </w:trPr>
        <w:tc>
          <w:tcPr>
            <w:tcW w:w="1120" w:type="dxa"/>
            <w:vAlign w:val="bottom"/>
          </w:tcPr>
          <w:p>
            <w:pPr>
              <w:ind w:left="20"/>
              <w:spacing w:after="0"/>
              <w:rPr>
                <w:sz w:val="20"/>
                <w:szCs w:val="20"/>
                <w:color w:val="auto"/>
              </w:rPr>
            </w:pPr>
            <w:r>
              <w:rPr>
                <w:rFonts w:ascii="Arial" w:cs="Arial" w:eastAsia="Arial" w:hAnsi="Arial"/>
                <w:sz w:val="16"/>
                <w:szCs w:val="16"/>
                <w:color w:val="auto"/>
              </w:rPr>
              <w:t>3-2</w:t>
            </w:r>
          </w:p>
        </w:tc>
        <w:tc>
          <w:tcPr>
            <w:tcW w:w="560" w:type="dxa"/>
            <w:vAlign w:val="bottom"/>
          </w:tcPr>
          <w:p>
            <w:pPr>
              <w:spacing w:after="0"/>
              <w:rPr>
                <w:sz w:val="24"/>
                <w:szCs w:val="24"/>
                <w:color w:val="auto"/>
              </w:rPr>
            </w:pPr>
          </w:p>
        </w:tc>
        <w:tc>
          <w:tcPr>
            <w:tcW w:w="9540" w:type="dxa"/>
            <w:vAlign w:val="bottom"/>
            <w:gridSpan w:val="17"/>
          </w:tcPr>
          <w:p>
            <w:pPr>
              <w:spacing w:after="0"/>
              <w:rPr>
                <w:rFonts w:ascii="Arial" w:cs="Arial" w:eastAsia="Arial" w:hAnsi="Arial"/>
                <w:sz w:val="16"/>
                <w:szCs w:val="16"/>
                <w:color w:val="0000FF"/>
              </w:rPr>
            </w:pPr>
            <w:hyperlink r:id="rId219">
              <w:r>
                <w:rPr>
                  <w:rFonts w:ascii="Arial" w:cs="Arial" w:eastAsia="Arial" w:hAnsi="Arial"/>
                  <w:sz w:val="16"/>
                  <w:szCs w:val="16"/>
                  <w:color w:val="0000FF"/>
                </w:rPr>
                <w:t>By-laws, as amended through August 26, 2025 (incorporated by reference to Exhibit 3-1 to TEGNA Inc.’s Form 8-K filed on August</w:t>
              </w:r>
            </w:hyperlink>
          </w:p>
        </w:tc>
      </w:tr>
      <w:tr>
        <w:trPr>
          <w:trHeight w:val="169"/>
        </w:trPr>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w w:val="99"/>
              </w:rPr>
            </w:pPr>
            <w:hyperlink r:id="rId219">
              <w:r>
                <w:rPr>
                  <w:rFonts w:ascii="Arial" w:cs="Arial" w:eastAsia="Arial" w:hAnsi="Arial"/>
                  <w:sz w:val="16"/>
                  <w:szCs w:val="16"/>
                  <w:color w:val="0000FF"/>
                  <w:w w:val="99"/>
                </w:rPr>
                <w:t>29, 2025).</w:t>
              </w:r>
            </w:hyperlink>
          </w:p>
        </w:tc>
        <w:tc>
          <w:tcPr>
            <w:tcW w:w="380" w:type="dxa"/>
            <w:vAlign w:val="bottom"/>
            <w:tcBorders>
              <w:top w:val="single" w:sz="8" w:color="0000FF"/>
            </w:tcBorders>
          </w:tcPr>
          <w:p>
            <w:pPr>
              <w:spacing w:after="0"/>
              <w:rPr>
                <w:sz w:val="14"/>
                <w:szCs w:val="14"/>
                <w:color w:val="auto"/>
              </w:rPr>
            </w:pPr>
          </w:p>
        </w:tc>
        <w:tc>
          <w:tcPr>
            <w:tcW w:w="1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76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17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12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1120" w:type="dxa"/>
            <w:vAlign w:val="bottom"/>
          </w:tcPr>
          <w:p>
            <w:pPr>
              <w:ind w:left="20"/>
              <w:spacing w:after="0"/>
              <w:rPr>
                <w:sz w:val="20"/>
                <w:szCs w:val="20"/>
                <w:color w:val="auto"/>
              </w:rPr>
            </w:pPr>
            <w:r>
              <w:rPr>
                <w:rFonts w:ascii="Arial" w:cs="Arial" w:eastAsia="Arial" w:hAnsi="Arial"/>
                <w:sz w:val="16"/>
                <w:szCs w:val="16"/>
                <w:color w:val="auto"/>
              </w:rPr>
              <w:t>10-1</w:t>
            </w:r>
          </w:p>
        </w:tc>
        <w:tc>
          <w:tcPr>
            <w:tcW w:w="560" w:type="dxa"/>
            <w:vAlign w:val="bottom"/>
          </w:tcPr>
          <w:p>
            <w:pPr>
              <w:spacing w:after="0"/>
              <w:rPr>
                <w:sz w:val="24"/>
                <w:szCs w:val="24"/>
                <w:color w:val="auto"/>
              </w:rPr>
            </w:pPr>
          </w:p>
        </w:tc>
        <w:tc>
          <w:tcPr>
            <w:tcW w:w="696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rPr>
              <w:t>Letter Agreement, dated as of August 18, 2025, by and between TEGNA Inc. and Michael Steib.*</w:t>
            </w:r>
          </w:p>
        </w:tc>
        <w:tc>
          <w:tcPr>
            <w:tcW w:w="2580" w:type="dxa"/>
            <w:vAlign w:val="bottom"/>
            <w:gridSpan w:val="6"/>
          </w:tcPr>
          <w:p>
            <w:pPr>
              <w:spacing w:after="0"/>
              <w:rPr>
                <w:sz w:val="24"/>
                <w:szCs w:val="24"/>
                <w:color w:val="auto"/>
              </w:rPr>
            </w:pPr>
          </w:p>
        </w:tc>
      </w:tr>
      <w:tr>
        <w:trPr>
          <w:trHeight w:val="358"/>
        </w:trPr>
        <w:tc>
          <w:tcPr>
            <w:tcW w:w="1120" w:type="dxa"/>
            <w:vAlign w:val="bottom"/>
          </w:tcPr>
          <w:p>
            <w:pPr>
              <w:ind w:left="20"/>
              <w:spacing w:after="0"/>
              <w:rPr>
                <w:sz w:val="20"/>
                <w:szCs w:val="20"/>
                <w:color w:val="auto"/>
              </w:rPr>
            </w:pPr>
            <w:r>
              <w:rPr>
                <w:rFonts w:ascii="Arial" w:cs="Arial" w:eastAsia="Arial" w:hAnsi="Arial"/>
                <w:sz w:val="16"/>
                <w:szCs w:val="16"/>
                <w:color w:val="auto"/>
              </w:rPr>
              <w:t>10-2</w:t>
            </w:r>
          </w:p>
        </w:tc>
        <w:tc>
          <w:tcPr>
            <w:tcW w:w="560" w:type="dxa"/>
            <w:vAlign w:val="bottom"/>
          </w:tcPr>
          <w:p>
            <w:pPr>
              <w:spacing w:after="0"/>
              <w:rPr>
                <w:sz w:val="24"/>
                <w:szCs w:val="24"/>
                <w:color w:val="auto"/>
              </w:rPr>
            </w:pPr>
          </w:p>
        </w:tc>
        <w:tc>
          <w:tcPr>
            <w:tcW w:w="692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color w:val="0000FF"/>
              </w:rPr>
              <w:t>Letter Agreement, dated as of August 18, 2025, by and between TEGNA Inc. and Julie Heskett.*</w:t>
            </w:r>
          </w:p>
        </w:tc>
        <w:tc>
          <w:tcPr>
            <w:tcW w:w="2620" w:type="dxa"/>
            <w:vAlign w:val="bottom"/>
            <w:gridSpan w:val="7"/>
          </w:tcPr>
          <w:p>
            <w:pPr>
              <w:spacing w:after="0"/>
              <w:rPr>
                <w:sz w:val="24"/>
                <w:szCs w:val="24"/>
                <w:color w:val="auto"/>
              </w:rPr>
            </w:pPr>
          </w:p>
        </w:tc>
      </w:tr>
      <w:tr>
        <w:trPr>
          <w:trHeight w:val="358"/>
        </w:trPr>
        <w:tc>
          <w:tcPr>
            <w:tcW w:w="1120" w:type="dxa"/>
            <w:vAlign w:val="bottom"/>
          </w:tcPr>
          <w:p>
            <w:pPr>
              <w:ind w:left="20"/>
              <w:spacing w:after="0"/>
              <w:rPr>
                <w:sz w:val="20"/>
                <w:szCs w:val="20"/>
                <w:color w:val="auto"/>
              </w:rPr>
            </w:pPr>
            <w:r>
              <w:rPr>
                <w:rFonts w:ascii="Arial" w:cs="Arial" w:eastAsia="Arial" w:hAnsi="Arial"/>
                <w:sz w:val="16"/>
                <w:szCs w:val="16"/>
                <w:color w:val="auto"/>
              </w:rPr>
              <w:t>10-3</w:t>
            </w:r>
          </w:p>
        </w:tc>
        <w:tc>
          <w:tcPr>
            <w:tcW w:w="560" w:type="dxa"/>
            <w:vAlign w:val="bottom"/>
          </w:tcPr>
          <w:p>
            <w:pPr>
              <w:spacing w:after="0"/>
              <w:rPr>
                <w:sz w:val="24"/>
                <w:szCs w:val="24"/>
                <w:color w:val="auto"/>
              </w:rPr>
            </w:pPr>
          </w:p>
        </w:tc>
        <w:tc>
          <w:tcPr>
            <w:tcW w:w="690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rPr>
              <w:t>Letter Agreement, dated as of August 18, 2025, by and between TEGNA Inc. and Thomas Cox.*</w:t>
            </w:r>
          </w:p>
        </w:tc>
        <w:tc>
          <w:tcPr>
            <w:tcW w:w="2640" w:type="dxa"/>
            <w:vAlign w:val="bottom"/>
            <w:gridSpan w:val="8"/>
          </w:tcPr>
          <w:p>
            <w:pPr>
              <w:spacing w:after="0"/>
              <w:rPr>
                <w:sz w:val="24"/>
                <w:szCs w:val="24"/>
                <w:color w:val="auto"/>
              </w:rPr>
            </w:pPr>
          </w:p>
        </w:tc>
      </w:tr>
      <w:tr>
        <w:trPr>
          <w:trHeight w:val="358"/>
        </w:trPr>
        <w:tc>
          <w:tcPr>
            <w:tcW w:w="1120" w:type="dxa"/>
            <w:vAlign w:val="bottom"/>
          </w:tcPr>
          <w:p>
            <w:pPr>
              <w:ind w:left="20"/>
              <w:spacing w:after="0"/>
              <w:rPr>
                <w:sz w:val="20"/>
                <w:szCs w:val="20"/>
                <w:color w:val="auto"/>
              </w:rPr>
            </w:pPr>
            <w:r>
              <w:rPr>
                <w:rFonts w:ascii="Arial" w:cs="Arial" w:eastAsia="Arial" w:hAnsi="Arial"/>
                <w:sz w:val="16"/>
                <w:szCs w:val="16"/>
                <w:color w:val="auto"/>
              </w:rPr>
              <w:t>10-4</w:t>
            </w:r>
          </w:p>
        </w:tc>
        <w:tc>
          <w:tcPr>
            <w:tcW w:w="560" w:type="dxa"/>
            <w:vAlign w:val="bottom"/>
          </w:tcPr>
          <w:p>
            <w:pPr>
              <w:spacing w:after="0"/>
              <w:rPr>
                <w:sz w:val="24"/>
                <w:szCs w:val="24"/>
                <w:color w:val="auto"/>
              </w:rPr>
            </w:pPr>
          </w:p>
        </w:tc>
        <w:tc>
          <w:tcPr>
            <w:tcW w:w="9540" w:type="dxa"/>
            <w:vAlign w:val="bottom"/>
            <w:gridSpan w:val="17"/>
          </w:tcPr>
          <w:p>
            <w:pPr>
              <w:spacing w:after="0"/>
              <w:rPr>
                <w:sz w:val="20"/>
                <w:szCs w:val="20"/>
                <w:color w:val="auto"/>
              </w:rPr>
            </w:pPr>
            <w:r>
              <w:rPr>
                <w:rFonts w:ascii="Arial" w:cs="Arial" w:eastAsia="Arial" w:hAnsi="Arial"/>
                <w:sz w:val="16"/>
                <w:szCs w:val="16"/>
                <w:color w:val="0000FF"/>
              </w:rPr>
              <w:t>Letter Agreement, dated as of August 18, 2025, by and between TEGNA Inc. and Alex J. Tolston.*</w:t>
            </w:r>
          </w:p>
        </w:tc>
      </w:tr>
      <w:tr>
        <w:trPr>
          <w:trHeight w:val="358"/>
        </w:trPr>
        <w:tc>
          <w:tcPr>
            <w:tcW w:w="1120" w:type="dxa"/>
            <w:vAlign w:val="bottom"/>
          </w:tcPr>
          <w:p>
            <w:pPr>
              <w:ind w:left="20"/>
              <w:spacing w:after="0"/>
              <w:rPr>
                <w:sz w:val="20"/>
                <w:szCs w:val="20"/>
                <w:color w:val="auto"/>
              </w:rPr>
            </w:pPr>
            <w:r>
              <w:rPr>
                <w:rFonts w:ascii="Arial" w:cs="Arial" w:eastAsia="Arial" w:hAnsi="Arial"/>
                <w:sz w:val="16"/>
                <w:szCs w:val="16"/>
                <w:color w:val="auto"/>
              </w:rPr>
              <w:t>31-1</w:t>
            </w:r>
          </w:p>
        </w:tc>
        <w:tc>
          <w:tcPr>
            <w:tcW w:w="560" w:type="dxa"/>
            <w:vAlign w:val="bottom"/>
          </w:tcPr>
          <w:p>
            <w:pPr>
              <w:spacing w:after="0"/>
              <w:rPr>
                <w:sz w:val="24"/>
                <w:szCs w:val="24"/>
                <w:color w:val="auto"/>
              </w:rPr>
            </w:pPr>
          </w:p>
        </w:tc>
        <w:tc>
          <w:tcPr>
            <w:tcW w:w="262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6"/>
                <w:szCs w:val="16"/>
                <w:color w:val="0000FF"/>
              </w:rPr>
              <w:t>Rule 13a-14(a) Certification of CEO.</w:t>
            </w:r>
          </w:p>
        </w:tc>
        <w:tc>
          <w:tcPr>
            <w:tcW w:w="4420" w:type="dxa"/>
            <w:vAlign w:val="bottom"/>
            <w:tcBorders>
              <w:top w:val="single" w:sz="8" w:color="0000FF"/>
            </w:tcBorders>
            <w:gridSpan w:val="6"/>
          </w:tcPr>
          <w:p>
            <w:pPr>
              <w:spacing w:after="0"/>
              <w:rPr>
                <w:sz w:val="24"/>
                <w:szCs w:val="24"/>
                <w:color w:val="auto"/>
              </w:rPr>
            </w:pPr>
          </w:p>
        </w:tc>
        <w:tc>
          <w:tcPr>
            <w:tcW w:w="2500" w:type="dxa"/>
            <w:vAlign w:val="bottom"/>
            <w:gridSpan w:val="5"/>
          </w:tcPr>
          <w:p>
            <w:pPr>
              <w:spacing w:after="0"/>
              <w:rPr>
                <w:sz w:val="24"/>
                <w:szCs w:val="24"/>
                <w:color w:val="auto"/>
              </w:rPr>
            </w:pPr>
          </w:p>
        </w:tc>
      </w:tr>
      <w:tr>
        <w:trPr>
          <w:trHeight w:val="358"/>
        </w:trPr>
        <w:tc>
          <w:tcPr>
            <w:tcW w:w="1120" w:type="dxa"/>
            <w:vAlign w:val="bottom"/>
          </w:tcPr>
          <w:p>
            <w:pPr>
              <w:ind w:left="20"/>
              <w:spacing w:after="0"/>
              <w:rPr>
                <w:sz w:val="20"/>
                <w:szCs w:val="20"/>
                <w:color w:val="auto"/>
              </w:rPr>
            </w:pPr>
            <w:r>
              <w:rPr>
                <w:rFonts w:ascii="Arial" w:cs="Arial" w:eastAsia="Arial" w:hAnsi="Arial"/>
                <w:sz w:val="16"/>
                <w:szCs w:val="16"/>
                <w:color w:val="auto"/>
              </w:rPr>
              <w:t>31-2</w:t>
            </w:r>
          </w:p>
        </w:tc>
        <w:tc>
          <w:tcPr>
            <w:tcW w:w="560" w:type="dxa"/>
            <w:vAlign w:val="bottom"/>
          </w:tcPr>
          <w:p>
            <w:pPr>
              <w:spacing w:after="0"/>
              <w:rPr>
                <w:sz w:val="24"/>
                <w:szCs w:val="24"/>
                <w:color w:val="auto"/>
              </w:rPr>
            </w:pPr>
          </w:p>
        </w:tc>
        <w:tc>
          <w:tcPr>
            <w:tcW w:w="260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rPr>
              <w:t>Rule 13a-14(a) Certification of CFO.</w:t>
            </w:r>
          </w:p>
        </w:tc>
        <w:tc>
          <w:tcPr>
            <w:tcW w:w="6940" w:type="dxa"/>
            <w:vAlign w:val="bottom"/>
            <w:gridSpan w:val="12"/>
          </w:tcPr>
          <w:p>
            <w:pPr>
              <w:spacing w:after="0"/>
              <w:rPr>
                <w:sz w:val="24"/>
                <w:szCs w:val="24"/>
                <w:color w:val="auto"/>
              </w:rPr>
            </w:pPr>
          </w:p>
        </w:tc>
      </w:tr>
      <w:tr>
        <w:trPr>
          <w:trHeight w:val="358"/>
        </w:trPr>
        <w:tc>
          <w:tcPr>
            <w:tcW w:w="1120" w:type="dxa"/>
            <w:vAlign w:val="bottom"/>
          </w:tcPr>
          <w:p>
            <w:pPr>
              <w:ind w:left="20"/>
              <w:spacing w:after="0"/>
              <w:rPr>
                <w:sz w:val="20"/>
                <w:szCs w:val="20"/>
                <w:color w:val="auto"/>
              </w:rPr>
            </w:pPr>
            <w:r>
              <w:rPr>
                <w:rFonts w:ascii="Arial" w:cs="Arial" w:eastAsia="Arial" w:hAnsi="Arial"/>
                <w:sz w:val="16"/>
                <w:szCs w:val="16"/>
                <w:color w:val="auto"/>
              </w:rPr>
              <w:t>32-1</w:t>
            </w:r>
          </w:p>
        </w:tc>
        <w:tc>
          <w:tcPr>
            <w:tcW w:w="560" w:type="dxa"/>
            <w:vAlign w:val="bottom"/>
          </w:tcPr>
          <w:p>
            <w:pPr>
              <w:spacing w:after="0"/>
              <w:rPr>
                <w:sz w:val="24"/>
                <w:szCs w:val="24"/>
                <w:color w:val="auto"/>
              </w:rPr>
            </w:pPr>
          </w:p>
        </w:tc>
        <w:tc>
          <w:tcPr>
            <w:tcW w:w="248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rPr>
              <w:t>Section 1350 Certification of CEO.</w:t>
            </w:r>
          </w:p>
        </w:tc>
        <w:tc>
          <w:tcPr>
            <w:tcW w:w="7060" w:type="dxa"/>
            <w:vAlign w:val="bottom"/>
            <w:gridSpan w:val="13"/>
          </w:tcPr>
          <w:p>
            <w:pPr>
              <w:spacing w:after="0"/>
              <w:rPr>
                <w:sz w:val="24"/>
                <w:szCs w:val="24"/>
                <w:color w:val="auto"/>
              </w:rPr>
            </w:pPr>
          </w:p>
        </w:tc>
      </w:tr>
      <w:tr>
        <w:trPr>
          <w:trHeight w:val="358"/>
        </w:trPr>
        <w:tc>
          <w:tcPr>
            <w:tcW w:w="1120" w:type="dxa"/>
            <w:vAlign w:val="bottom"/>
          </w:tcPr>
          <w:p>
            <w:pPr>
              <w:ind w:left="20"/>
              <w:spacing w:after="0"/>
              <w:rPr>
                <w:sz w:val="20"/>
                <w:szCs w:val="20"/>
                <w:color w:val="auto"/>
              </w:rPr>
            </w:pPr>
            <w:r>
              <w:rPr>
                <w:rFonts w:ascii="Arial" w:cs="Arial" w:eastAsia="Arial" w:hAnsi="Arial"/>
                <w:sz w:val="16"/>
                <w:szCs w:val="16"/>
                <w:color w:val="auto"/>
              </w:rPr>
              <w:t>32-2</w:t>
            </w:r>
          </w:p>
        </w:tc>
        <w:tc>
          <w:tcPr>
            <w:tcW w:w="560" w:type="dxa"/>
            <w:vAlign w:val="bottom"/>
          </w:tcPr>
          <w:p>
            <w:pPr>
              <w:spacing w:after="0"/>
              <w:rPr>
                <w:sz w:val="24"/>
                <w:szCs w:val="24"/>
                <w:color w:val="auto"/>
              </w:rPr>
            </w:pPr>
          </w:p>
        </w:tc>
        <w:tc>
          <w:tcPr>
            <w:tcW w:w="246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rPr>
              <w:t>Section 1350 Certification of CFO.</w:t>
            </w:r>
          </w:p>
        </w:tc>
        <w:tc>
          <w:tcPr>
            <w:tcW w:w="7080" w:type="dxa"/>
            <w:vAlign w:val="bottom"/>
            <w:gridSpan w:val="14"/>
          </w:tcPr>
          <w:p>
            <w:pPr>
              <w:spacing w:after="0"/>
              <w:rPr>
                <w:sz w:val="24"/>
                <w:szCs w:val="24"/>
                <w:color w:val="auto"/>
              </w:rPr>
            </w:pPr>
          </w:p>
        </w:tc>
      </w:tr>
      <w:tr>
        <w:trPr>
          <w:trHeight w:val="371"/>
        </w:trPr>
        <w:tc>
          <w:tcPr>
            <w:tcW w:w="1680" w:type="dxa"/>
            <w:vAlign w:val="bottom"/>
            <w:gridSpan w:val="2"/>
          </w:tcPr>
          <w:p>
            <w:pPr>
              <w:ind w:left="20"/>
              <w:spacing w:after="0"/>
              <w:rPr>
                <w:sz w:val="20"/>
                <w:szCs w:val="20"/>
                <w:color w:val="auto"/>
              </w:rPr>
            </w:pPr>
            <w:r>
              <w:rPr>
                <w:rFonts w:ascii="Arial" w:cs="Arial" w:eastAsia="Arial" w:hAnsi="Arial"/>
                <w:sz w:val="16"/>
                <w:szCs w:val="16"/>
                <w:color w:val="auto"/>
              </w:rPr>
              <w:t>101.INS</w:t>
            </w:r>
          </w:p>
        </w:tc>
        <w:tc>
          <w:tcPr>
            <w:tcW w:w="9540" w:type="dxa"/>
            <w:vAlign w:val="bottom"/>
            <w:gridSpan w:val="17"/>
          </w:tcPr>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as its XBRL tags are embedded</w:t>
            </w:r>
          </w:p>
        </w:tc>
      </w:tr>
      <w:tr>
        <w:trPr>
          <w:trHeight w:val="215"/>
        </w:trPr>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40" w:type="dxa"/>
            <w:vAlign w:val="bottom"/>
            <w:gridSpan w:val="17"/>
          </w:tcPr>
          <w:p>
            <w:pPr>
              <w:spacing w:after="0"/>
              <w:rPr>
                <w:sz w:val="20"/>
                <w:szCs w:val="20"/>
                <w:color w:val="auto"/>
              </w:rPr>
            </w:pPr>
            <w:r>
              <w:rPr>
                <w:rFonts w:ascii="Arial" w:cs="Arial" w:eastAsia="Arial" w:hAnsi="Arial"/>
                <w:sz w:val="16"/>
                <w:szCs w:val="16"/>
                <w:color w:val="auto"/>
              </w:rPr>
              <w:t>within the Inline XBRL document.</w:t>
            </w:r>
          </w:p>
        </w:tc>
      </w:tr>
      <w:tr>
        <w:trPr>
          <w:trHeight w:val="378"/>
        </w:trPr>
        <w:tc>
          <w:tcPr>
            <w:tcW w:w="1680" w:type="dxa"/>
            <w:vAlign w:val="bottom"/>
            <w:gridSpan w:val="2"/>
          </w:tcPr>
          <w:p>
            <w:pPr>
              <w:ind w:left="20"/>
              <w:spacing w:after="0"/>
              <w:rPr>
                <w:sz w:val="20"/>
                <w:szCs w:val="20"/>
                <w:color w:val="auto"/>
              </w:rPr>
            </w:pPr>
            <w:r>
              <w:rPr>
                <w:rFonts w:ascii="Arial" w:cs="Arial" w:eastAsia="Arial" w:hAnsi="Arial"/>
                <w:sz w:val="16"/>
                <w:szCs w:val="16"/>
                <w:color w:val="auto"/>
              </w:rPr>
              <w:t>101.SCH</w:t>
            </w:r>
          </w:p>
        </w:tc>
        <w:tc>
          <w:tcPr>
            <w:tcW w:w="9540" w:type="dxa"/>
            <w:vAlign w:val="bottom"/>
            <w:gridSpan w:val="17"/>
          </w:tcPr>
          <w:p>
            <w:pPr>
              <w:spacing w:after="0"/>
              <w:rPr>
                <w:sz w:val="20"/>
                <w:szCs w:val="20"/>
                <w:color w:val="auto"/>
              </w:rPr>
            </w:pPr>
            <w:r>
              <w:rPr>
                <w:rFonts w:ascii="Arial" w:cs="Arial" w:eastAsia="Arial" w:hAnsi="Arial"/>
                <w:sz w:val="16"/>
                <w:szCs w:val="16"/>
                <w:color w:val="auto"/>
              </w:rPr>
              <w:t>Inline XBRL Taxonomy Extension Schema With Embedded Linkbase Documents</w:t>
            </w:r>
          </w:p>
        </w:tc>
      </w:tr>
      <w:tr>
        <w:trPr>
          <w:trHeight w:val="378"/>
        </w:trPr>
        <w:tc>
          <w:tcPr>
            <w:tcW w:w="1120" w:type="dxa"/>
            <w:vAlign w:val="bottom"/>
          </w:tcPr>
          <w:p>
            <w:pPr>
              <w:ind w:left="20"/>
              <w:spacing w:after="0"/>
              <w:rPr>
                <w:sz w:val="20"/>
                <w:szCs w:val="20"/>
                <w:color w:val="auto"/>
              </w:rPr>
            </w:pPr>
            <w:r>
              <w:rPr>
                <w:rFonts w:ascii="Arial" w:cs="Arial" w:eastAsia="Arial" w:hAnsi="Arial"/>
                <w:sz w:val="16"/>
                <w:szCs w:val="16"/>
                <w:color w:val="auto"/>
              </w:rPr>
              <w:t>104</w:t>
            </w:r>
          </w:p>
        </w:tc>
        <w:tc>
          <w:tcPr>
            <w:tcW w:w="560" w:type="dxa"/>
            <w:vAlign w:val="bottom"/>
          </w:tcPr>
          <w:p>
            <w:pPr>
              <w:spacing w:after="0"/>
              <w:rPr>
                <w:sz w:val="24"/>
                <w:szCs w:val="24"/>
                <w:color w:val="auto"/>
              </w:rPr>
            </w:pPr>
          </w:p>
        </w:tc>
        <w:tc>
          <w:tcPr>
            <w:tcW w:w="9540" w:type="dxa"/>
            <w:vAlign w:val="bottom"/>
            <w:gridSpan w:val="17"/>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r>
    </w:tbl>
    <w:p>
      <w:pPr>
        <w:spacing w:after="0" w:line="352" w:lineRule="exact"/>
        <w:rPr>
          <w:sz w:val="20"/>
          <w:szCs w:val="20"/>
          <w:color w:val="auto"/>
        </w:rPr>
      </w:pPr>
    </w:p>
    <w:p>
      <w:pPr>
        <w:ind w:left="5540" w:right="4980" w:hanging="5532"/>
        <w:spacing w:after="0" w:line="779" w:lineRule="auto"/>
        <w:tabs>
          <w:tab w:leader="none" w:pos="122"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Asterisks identify management contracts and compensatory plans and arrangements.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32" w:name="page33"/>
    <w:bookmarkEnd w:id="32"/>
    <w:p>
      <w:pPr>
        <w:ind w:left="5160"/>
        <w:spacing w:after="0"/>
        <w:rPr>
          <w:sz w:val="20"/>
          <w:szCs w:val="20"/>
          <w:color w:val="auto"/>
        </w:rPr>
      </w:pPr>
      <w:r>
        <w:rPr>
          <w:rFonts w:ascii="Arial" w:cs="Arial" w:eastAsia="Arial" w:hAnsi="Arial"/>
          <w:sz w:val="16"/>
          <w:szCs w:val="16"/>
          <w:color w:val="auto"/>
        </w:rPr>
        <w:t>SIGNATURE</w:t>
      </w:r>
    </w:p>
    <w:p>
      <w:pPr>
        <w:spacing w:after="0" w:line="262" w:lineRule="exact"/>
        <w:rPr>
          <w:sz w:val="20"/>
          <w:szCs w:val="20"/>
          <w:color w:val="auto"/>
        </w:rPr>
      </w:pPr>
    </w:p>
    <w:p>
      <w:pPr>
        <w:ind w:firstLine="374"/>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p>
      <w:pPr>
        <w:ind w:left="60"/>
        <w:spacing w:after="0"/>
        <w:tabs>
          <w:tab w:leader="none" w:pos="5640" w:val="left"/>
        </w:tabs>
        <w:rPr>
          <w:sz w:val="20"/>
          <w:szCs w:val="20"/>
          <w:color w:val="auto"/>
        </w:rPr>
      </w:pPr>
      <w:r>
        <w:rPr>
          <w:rFonts w:ascii="Arial" w:cs="Arial" w:eastAsia="Arial" w:hAnsi="Arial"/>
          <w:sz w:val="16"/>
          <w:szCs w:val="16"/>
          <w:color w:val="auto"/>
        </w:rPr>
        <w:t>Date: November 10, 2025</w:t>
      </w:r>
      <w:r>
        <w:rPr>
          <w:sz w:val="20"/>
          <w:szCs w:val="20"/>
          <w:color w:val="auto"/>
        </w:rPr>
        <w:tab/>
      </w:r>
      <w:r>
        <w:rPr>
          <w:rFonts w:ascii="Arial" w:cs="Arial" w:eastAsia="Arial" w:hAnsi="Arial"/>
          <w:sz w:val="16"/>
          <w:szCs w:val="16"/>
          <w:color w:val="auto"/>
        </w:rPr>
        <w:t>TEGNA INC.</w:t>
      </w:r>
    </w:p>
    <w:p>
      <w:pPr>
        <w:spacing w:after="0" w:line="28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 Clifton A. McClelland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29210</wp:posOffset>
            </wp:positionV>
            <wp:extent cx="357441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80"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Clifton A. McClelland III</w:t>
      </w:r>
    </w:p>
    <w:p>
      <w:pPr>
        <w:spacing w:after="0" w:line="86"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Senior Vice President and Controller</w:t>
      </w:r>
    </w:p>
    <w:p>
      <w:pPr>
        <w:spacing w:after="0" w:line="86"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(on behalf of Registrant and as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935" w:right="919" w:bottom="1440" w:gutter="0" w:footer="0" w:header="0"/>
        </w:sectPr>
      </w:pPr>
    </w:p>
    <w:bookmarkStart w:id="33" w:name="page34"/>
    <w:bookmarkEnd w:id="33"/>
    <w:p>
      <w:pPr>
        <w:jc w:val="right"/>
        <w:spacing w:after="0"/>
        <w:rPr>
          <w:sz w:val="20"/>
          <w:szCs w:val="20"/>
          <w:color w:val="auto"/>
        </w:rPr>
      </w:pPr>
      <w:r>
        <w:rPr>
          <w:rFonts w:ascii="Arial" w:cs="Arial" w:eastAsia="Arial" w:hAnsi="Arial"/>
          <w:sz w:val="14"/>
          <w:szCs w:val="14"/>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2360930</wp:posOffset>
            </wp:positionH>
            <wp:positionV relativeFrom="paragraph">
              <wp:posOffset>186690</wp:posOffset>
            </wp:positionV>
            <wp:extent cx="1259840" cy="3003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125984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 Retention Award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18, 2025 Dear Mike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Steib:</w:t>
      </w:r>
    </w:p>
    <w:p>
      <w:pPr>
        <w:spacing w:after="0" w:line="4" w:lineRule="exact"/>
        <w:rPr>
          <w:sz w:val="20"/>
          <w:szCs w:val="20"/>
          <w:color w:val="auto"/>
        </w:rPr>
      </w:pPr>
    </w:p>
    <w:p>
      <w:pPr>
        <w:ind w:right="80" w:firstLine="747"/>
        <w:spacing w:after="0" w:line="230" w:lineRule="auto"/>
        <w:rPr>
          <w:sz w:val="20"/>
          <w:szCs w:val="20"/>
          <w:color w:val="auto"/>
        </w:rPr>
      </w:pPr>
      <w:r>
        <w:rPr>
          <w:rFonts w:ascii="Times New Roman" w:cs="Times New Roman" w:eastAsia="Times New Roman" w:hAnsi="Times New Roman"/>
          <w:sz w:val="22"/>
          <w:szCs w:val="22"/>
          <w:color w:val="auto"/>
        </w:rPr>
        <w:t xml:space="preserve">As you know, TEGNA Inc. (the “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Nexstar Media Group, Inc. (“</w:t>
      </w:r>
      <w:r>
        <w:rPr>
          <w:rFonts w:ascii="Times New Roman" w:cs="Times New Roman" w:eastAsia="Times New Roman" w:hAnsi="Times New Roman"/>
          <w:sz w:val="22"/>
          <w:szCs w:val="22"/>
          <w:b w:val="1"/>
          <w:bCs w:val="1"/>
          <w:color w:val="auto"/>
        </w:rPr>
        <w:t>Nexstar</w:t>
      </w:r>
      <w:r>
        <w:rPr>
          <w:rFonts w:ascii="Times New Roman" w:cs="Times New Roman" w:eastAsia="Times New Roman" w:hAnsi="Times New Roman"/>
          <w:sz w:val="22"/>
          <w:szCs w:val="22"/>
          <w:color w:val="auto"/>
        </w:rPr>
        <w:t>”) and Teton Merger Sub, Inc. have entered into a merger agreement (the “</w:t>
      </w:r>
      <w:r>
        <w:rPr>
          <w:rFonts w:ascii="Times New Roman" w:cs="Times New Roman" w:eastAsia="Times New Roman" w:hAnsi="Times New Roman"/>
          <w:sz w:val="22"/>
          <w:szCs w:val="22"/>
          <w:b w:val="1"/>
          <w:bCs w:val="1"/>
          <w:color w:val="auto"/>
        </w:rPr>
        <w:t>Merger Agreement</w:t>
      </w:r>
      <w:r>
        <w:rPr>
          <w:rFonts w:ascii="Times New Roman" w:cs="Times New Roman" w:eastAsia="Times New Roman" w:hAnsi="Times New Roman"/>
          <w:sz w:val="22"/>
          <w:szCs w:val="22"/>
          <w:color w:val="auto"/>
        </w:rPr>
        <w:t>”) contemplating the acquisition of the Company by Nexstar pursuant to a merger (the “</w:t>
      </w:r>
      <w:r>
        <w:rPr>
          <w:rFonts w:ascii="Times New Roman" w:cs="Times New Roman" w:eastAsia="Times New Roman" w:hAnsi="Times New Roman"/>
          <w:sz w:val="22"/>
          <w:szCs w:val="22"/>
          <w:b w:val="1"/>
          <w:bCs w:val="1"/>
          <w:color w:val="auto"/>
        </w:rPr>
        <w:t>Merger</w:t>
      </w:r>
      <w:r>
        <w:rPr>
          <w:rFonts w:ascii="Times New Roman" w:cs="Times New Roman" w:eastAsia="Times New Roman" w:hAnsi="Times New Roman"/>
          <w:sz w:val="22"/>
          <w:szCs w:val="22"/>
          <w:color w:val="auto"/>
        </w:rPr>
        <w:t>”). We believe that the Merger is in the best interests of both our employees and stockholders.</w:t>
      </w:r>
    </w:p>
    <w:p>
      <w:pPr>
        <w:spacing w:after="0" w:line="2"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22"/>
          <w:szCs w:val="22"/>
          <w:color w:val="auto"/>
        </w:rPr>
        <w:t>However, we understand that the Merger may create uncertainty for our employees during the months that it is pending completion. Both the Company and Nexstar recognize that our most valuable asset is our employees and that those employees are essential to our past and continued success. More specifically, you are a valued employee, and we believe that you are in a position to make a significant contribution. Because retention of key employees of the Company is an essential consideration for us during this period, we are providing you with the opportunity to earn the retention payment described in this letter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p>
    <w:p>
      <w:pPr>
        <w:spacing w:after="0" w:line="138" w:lineRule="exact"/>
        <w:rPr>
          <w:sz w:val="20"/>
          <w:szCs w:val="20"/>
          <w:color w:val="auto"/>
        </w:rPr>
      </w:pPr>
    </w:p>
    <w:p>
      <w:pPr>
        <w:jc w:val="both"/>
        <w:ind w:right="240" w:firstLine="751"/>
        <w:spacing w:after="0" w:line="246" w:lineRule="auto"/>
        <w:tabs>
          <w:tab w:leader="none" w:pos="115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Retention Payment</w:t>
      </w:r>
      <w:r>
        <w:rPr>
          <w:rFonts w:ascii="Times New Roman" w:cs="Times New Roman" w:eastAsia="Times New Roman" w:hAnsi="Times New Roman"/>
          <w:sz w:val="22"/>
          <w:szCs w:val="22"/>
          <w:color w:val="auto"/>
        </w:rPr>
        <w:t>. Subject to the terms of this Agreement, you shall be eligible for, and the Company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 to you, a cash retention payment equal to $6,000,000 (the “</w:t>
      </w:r>
      <w:r>
        <w:rPr>
          <w:rFonts w:ascii="Times New Roman" w:cs="Times New Roman" w:eastAsia="Times New Roman" w:hAnsi="Times New Roman"/>
          <w:sz w:val="22"/>
          <w:szCs w:val="22"/>
          <w:b w:val="1"/>
          <w:bCs w:val="1"/>
          <w:color w:val="auto"/>
        </w:rPr>
        <w:t>Retention Payment</w:t>
      </w:r>
      <w:r>
        <w:rPr>
          <w:rFonts w:ascii="Times New Roman" w:cs="Times New Roman" w:eastAsia="Times New Roman" w:hAnsi="Times New Roman"/>
          <w:sz w:val="22"/>
          <w:szCs w:val="22"/>
          <w:color w:val="auto"/>
        </w:rPr>
        <w:t>”), which shall vest as follows, subject to your continuous employment through each such date:</w:t>
      </w:r>
    </w:p>
    <w:p>
      <w:pPr>
        <w:spacing w:after="0" w:line="131" w:lineRule="exact"/>
        <w:rPr>
          <w:sz w:val="20"/>
          <w:szCs w:val="20"/>
          <w:color w:val="auto"/>
        </w:rPr>
      </w:pPr>
    </w:p>
    <w:p>
      <w:pPr>
        <w:ind w:left="1080" w:right="1180" w:hanging="329"/>
        <w:spacing w:after="0" w:line="244" w:lineRule="auto"/>
        <w:tabs>
          <w:tab w:leader="none" w:pos="10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Merger closes before the second anniversary of the date of the Merger Agreement, 50% upon the closing of the Merger and 50% upon the second anniversary of the date of the Merger Agreement; or</w:t>
      </w:r>
    </w:p>
    <w:p>
      <w:pPr>
        <w:spacing w:after="0" w:line="132" w:lineRule="exact"/>
        <w:rPr>
          <w:rFonts w:ascii="Times New Roman" w:cs="Times New Roman" w:eastAsia="Times New Roman" w:hAnsi="Times New Roman"/>
          <w:sz w:val="22"/>
          <w:szCs w:val="22"/>
          <w:color w:val="auto"/>
        </w:rPr>
      </w:pPr>
    </w:p>
    <w:p>
      <w:pPr>
        <w:ind w:left="1120" w:right="360" w:hanging="369"/>
        <w:spacing w:after="0" w:line="258" w:lineRule="auto"/>
        <w:tabs>
          <w:tab w:leader="none" w:pos="11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Merger does not close before the second anniversary of the date of the Merger Agreement, 100% upon the second anniversary of the date of the Merger Agreement.</w:t>
      </w:r>
    </w:p>
    <w:p>
      <w:pPr>
        <w:spacing w:after="0" w:line="127" w:lineRule="exact"/>
        <w:rPr>
          <w:sz w:val="20"/>
          <w:szCs w:val="20"/>
          <w:color w:val="auto"/>
        </w:rPr>
      </w:pPr>
    </w:p>
    <w:p>
      <w:pPr>
        <w:ind w:right="260" w:firstLine="747"/>
        <w:spacing w:after="0" w:line="235" w:lineRule="auto"/>
        <w:rPr>
          <w:sz w:val="20"/>
          <w:szCs w:val="20"/>
          <w:color w:val="auto"/>
        </w:rPr>
      </w:pPr>
      <w:r>
        <w:rPr>
          <w:rFonts w:ascii="Times New Roman" w:cs="Times New Roman" w:eastAsia="Times New Roman" w:hAnsi="Times New Roman"/>
          <w:sz w:val="22"/>
          <w:szCs w:val="22"/>
          <w:color w:val="auto"/>
        </w:rPr>
        <w:t>For purposes of this Agreement, the term “</w:t>
      </w:r>
      <w:r>
        <w:rPr>
          <w:rFonts w:ascii="Times New Roman" w:cs="Times New Roman" w:eastAsia="Times New Roman" w:hAnsi="Times New Roman"/>
          <w:sz w:val="22"/>
          <w:szCs w:val="22"/>
          <w:b w:val="1"/>
          <w:bCs w:val="1"/>
          <w:color w:val="auto"/>
        </w:rPr>
        <w:t>Vesting Date</w:t>
      </w:r>
      <w:r>
        <w:rPr>
          <w:rFonts w:ascii="Times New Roman" w:cs="Times New Roman" w:eastAsia="Times New Roman" w:hAnsi="Times New Roman"/>
          <w:sz w:val="22"/>
          <w:szCs w:val="22"/>
          <w:color w:val="auto"/>
        </w:rPr>
        <w:t>” means the date on which the applicable portion of the Retention Payment vests. Notwithstanding the foregoing, you shall be eligible for, and the Company shall pay, any unpaid portion of the Retention Payment to you if, before any Vesting Date, (i) following the closing of the Merger, the Company terminates your employment with the Company or its affiliates without Cause or you resign your employment for Good Reason, or (ii) your employment is terminated by reason of your death or permanent</w:t>
      </w:r>
    </w:p>
    <w:p>
      <w:pPr>
        <w:spacing w:after="0" w:line="4" w:lineRule="exact"/>
        <w:rPr>
          <w:sz w:val="20"/>
          <w:szCs w:val="20"/>
          <w:color w:val="auto"/>
        </w:rPr>
      </w:pPr>
    </w:p>
    <w:p>
      <w:pPr>
        <w:ind w:right="1080"/>
        <w:spacing w:after="0" w:line="237" w:lineRule="auto"/>
        <w:rPr>
          <w:sz w:val="20"/>
          <w:szCs w:val="20"/>
          <w:color w:val="auto"/>
        </w:rPr>
      </w:pPr>
      <w:r>
        <w:rPr>
          <w:rFonts w:ascii="Times New Roman" w:cs="Times New Roman" w:eastAsia="Times New Roman" w:hAnsi="Times New Roman"/>
          <w:sz w:val="22"/>
          <w:szCs w:val="22"/>
          <w:color w:val="auto"/>
        </w:rPr>
        <w:t>disability (as determined under the Company’s Long Term Disability Plan) (any such termination, a “</w:t>
      </w:r>
      <w:r>
        <w:rPr>
          <w:rFonts w:ascii="Times New Roman" w:cs="Times New Roman" w:eastAsia="Times New Roman" w:hAnsi="Times New Roman"/>
          <w:sz w:val="22"/>
          <w:szCs w:val="22"/>
          <w:b w:val="1"/>
          <w:bCs w:val="1"/>
          <w:color w:val="auto"/>
        </w:rPr>
        <w:t>Qualifying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Termination</w:t>
      </w:r>
      <w:r>
        <w:rPr>
          <w:rFonts w:ascii="Times New Roman" w:cs="Times New Roman" w:eastAsia="Times New Roman" w:hAnsi="Times New Roman"/>
          <w:sz w:val="22"/>
          <w:szCs w:val="22"/>
          <w:color w:val="auto"/>
        </w:rPr>
        <w:t>”).</w:t>
      </w:r>
    </w:p>
    <w:p>
      <w:pPr>
        <w:spacing w:after="0" w:line="138" w:lineRule="exact"/>
        <w:rPr>
          <w:sz w:val="20"/>
          <w:szCs w:val="20"/>
          <w:color w:val="auto"/>
        </w:rPr>
      </w:pPr>
    </w:p>
    <w:p>
      <w:pPr>
        <w:ind w:right="240" w:firstLine="747"/>
        <w:spacing w:after="0" w:line="244" w:lineRule="auto"/>
        <w:rPr>
          <w:sz w:val="20"/>
          <w:szCs w:val="20"/>
          <w:color w:val="auto"/>
        </w:rPr>
      </w:pPr>
      <w:r>
        <w:rPr>
          <w:rFonts w:ascii="Times New Roman" w:cs="Times New Roman" w:eastAsia="Times New Roman" w:hAnsi="Times New Roman"/>
          <w:sz w:val="22"/>
          <w:szCs w:val="22"/>
          <w:color w:val="auto"/>
        </w:rPr>
        <w:t>You shall not be eligible for, and shall not be paid, any unvested portion of the Retention Payment if your employment with the Company is terminated for any reason other than a Qualifying Termination on or prior to the Vesting Date, including, without limitation, a termination due to resignation or termination for Cause.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0"/>
          <w:szCs w:val="20"/>
          <w:color w:val="808080"/>
        </w:rPr>
        <w:t>8350 B</w:t>
      </w:r>
      <w:r>
        <w:rPr>
          <w:rFonts w:ascii="Arial" w:cs="Arial" w:eastAsia="Arial" w:hAnsi="Arial"/>
          <w:sz w:val="16"/>
          <w:szCs w:val="16"/>
          <w:color w:val="808080"/>
        </w:rPr>
        <w:t>ROAD</w:t>
      </w:r>
      <w:r>
        <w:rPr>
          <w:rFonts w:ascii="Arial" w:cs="Arial" w:eastAsia="Arial" w:hAnsi="Arial"/>
          <w:sz w:val="20"/>
          <w:szCs w:val="20"/>
          <w:color w:val="808080"/>
        </w:rPr>
        <w:t xml:space="preserve"> S</w:t>
      </w:r>
      <w:r>
        <w:rPr>
          <w:rFonts w:ascii="Arial" w:cs="Arial" w:eastAsia="Arial" w:hAnsi="Arial"/>
          <w:sz w:val="16"/>
          <w:szCs w:val="16"/>
          <w:color w:val="808080"/>
        </w:rPr>
        <w:t>T</w:t>
      </w:r>
      <w:r>
        <w:rPr>
          <w:rFonts w:ascii="Arial" w:cs="Arial" w:eastAsia="Arial" w:hAnsi="Arial"/>
          <w:sz w:val="20"/>
          <w:szCs w:val="20"/>
          <w:color w:val="808080"/>
        </w:rPr>
        <w:t>. ∙ S</w:t>
      </w:r>
      <w:r>
        <w:rPr>
          <w:rFonts w:ascii="Arial" w:cs="Arial" w:eastAsia="Arial" w:hAnsi="Arial"/>
          <w:sz w:val="16"/>
          <w:szCs w:val="16"/>
          <w:color w:val="808080"/>
        </w:rPr>
        <w:t>UITE</w:t>
      </w:r>
      <w:r>
        <w:rPr>
          <w:rFonts w:ascii="Arial" w:cs="Arial" w:eastAsia="Arial" w:hAnsi="Arial"/>
          <w:sz w:val="20"/>
          <w:szCs w:val="20"/>
          <w:color w:val="808080"/>
        </w:rPr>
        <w:t xml:space="preserve"> 2000 ∙ T</w:t>
      </w:r>
      <w:r>
        <w:rPr>
          <w:rFonts w:ascii="Arial" w:cs="Arial" w:eastAsia="Arial" w:hAnsi="Arial"/>
          <w:sz w:val="16"/>
          <w:szCs w:val="16"/>
          <w:color w:val="808080"/>
        </w:rPr>
        <w:t>YSONS</w:t>
      </w:r>
      <w:r>
        <w:rPr>
          <w:rFonts w:ascii="Arial" w:cs="Arial" w:eastAsia="Arial" w:hAnsi="Arial"/>
          <w:sz w:val="20"/>
          <w:szCs w:val="20"/>
          <w:color w:val="808080"/>
        </w:rPr>
        <w:t>, VA 22102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215265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49" w:right="339" w:bottom="1440" w:gutter="0" w:footer="0" w:header="0"/>
        </w:sectPr>
      </w:pPr>
    </w:p>
    <w:bookmarkStart w:id="34" w:name="page35"/>
    <w:bookmarkEnd w:id="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20" w:firstLine="747"/>
        <w:spacing w:after="0" w:line="262" w:lineRule="auto"/>
        <w:rPr>
          <w:sz w:val="20"/>
          <w:szCs w:val="20"/>
          <w:color w:val="auto"/>
        </w:rPr>
      </w:pPr>
      <w:r>
        <w:rPr>
          <w:rFonts w:ascii="Times New Roman" w:cs="Times New Roman" w:eastAsia="Times New Roman" w:hAnsi="Times New Roman"/>
          <w:sz w:val="22"/>
          <w:szCs w:val="22"/>
          <w:color w:val="auto"/>
        </w:rPr>
        <w:t>For purposes of this Agreement the terms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shall have the meanings set forth in the TEGNA Inc. 2015 Change in Control Severance Plan (based on the plan document in effect as of the date hereof).</w:t>
      </w:r>
    </w:p>
    <w:p>
      <w:pPr>
        <w:spacing w:after="0" w:line="109" w:lineRule="exact"/>
        <w:rPr>
          <w:sz w:val="20"/>
          <w:szCs w:val="20"/>
          <w:color w:val="auto"/>
        </w:rPr>
      </w:pPr>
    </w:p>
    <w:p>
      <w:pPr>
        <w:ind w:right="20" w:firstLine="751"/>
        <w:spacing w:after="0" w:line="235" w:lineRule="auto"/>
        <w:tabs>
          <w:tab w:leader="none" w:pos="1153"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Release; Time of Payment</w:t>
      </w:r>
      <w:r>
        <w:rPr>
          <w:rFonts w:ascii="Times New Roman" w:cs="Times New Roman" w:eastAsia="Times New Roman" w:hAnsi="Times New Roman"/>
          <w:sz w:val="22"/>
          <w:szCs w:val="22"/>
          <w:color w:val="auto"/>
        </w:rPr>
        <w:t>. The Company may require that, as a condition to your receipt of any portion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Retention Payment upon a Qualifying Termination (other than termination due to death), you execute a customary release of claims in favor of the Company and its affiliates in a form provided by the Company (which shall not contain new restrictive covenants) (the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xml:space="preserve">”). The Company shall pay any vested portion of the Retention Payment to you in one lump sum cash payment (net of applicable withholdings and deductions) on the first regularly scheduled payroll date after the Vesting Date or, if earlier, the first regularly scheduled payroll date after the date of your Qualifying Termination;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the Company requires that you sign a Release as a condition to receive such payment upon a Qualifying Termination (other than termination due to death), such payment will not be made prior to the date on which the Release becomes effective and nonrevocable in accordance with its terms.</w:t>
      </w:r>
    </w:p>
    <w:p>
      <w:pPr>
        <w:spacing w:after="0" w:line="146" w:lineRule="exact"/>
        <w:rPr>
          <w:rFonts w:ascii="Times New Roman" w:cs="Times New Roman" w:eastAsia="Times New Roman" w:hAnsi="Times New Roman"/>
          <w:sz w:val="22"/>
          <w:szCs w:val="22"/>
          <w:color w:val="auto"/>
        </w:rPr>
      </w:pPr>
    </w:p>
    <w:p>
      <w:pPr>
        <w:jc w:val="both"/>
        <w:ind w:right="400" w:firstLine="751"/>
        <w:spacing w:after="0" w:line="241" w:lineRule="auto"/>
        <w:tabs>
          <w:tab w:leader="none" w:pos="114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Retention Payment</w:t>
      </w:r>
      <w:r>
        <w:rPr>
          <w:rFonts w:ascii="Times New Roman" w:cs="Times New Roman" w:eastAsia="Times New Roman" w:hAnsi="Times New Roman"/>
          <w:sz w:val="22"/>
          <w:szCs w:val="22"/>
          <w:color w:val="auto"/>
        </w:rPr>
        <w:t>. For purposes of this Agreement and any severance, change in control plan, or similar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or policy, the Retention Payment shall be treated as a retention payment and not a severance payment. Accordingly, the Retention Payment shall not offset any other severance or similar obligation of the Company under any other plan or policy.</w:t>
      </w:r>
    </w:p>
    <w:p>
      <w:pPr>
        <w:spacing w:after="0" w:line="131" w:lineRule="exact"/>
        <w:rPr>
          <w:rFonts w:ascii="Times New Roman" w:cs="Times New Roman" w:eastAsia="Times New Roman" w:hAnsi="Times New Roman"/>
          <w:sz w:val="22"/>
          <w:szCs w:val="22"/>
          <w:color w:val="auto"/>
        </w:rPr>
      </w:pPr>
    </w:p>
    <w:p>
      <w:pPr>
        <w:ind w:right="260" w:firstLine="751"/>
        <w:spacing w:after="0" w:line="238" w:lineRule="auto"/>
        <w:tabs>
          <w:tab w:leader="none" w:pos="114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At-will Employment</w:t>
      </w:r>
      <w:r>
        <w:rPr>
          <w:rFonts w:ascii="Times New Roman" w:cs="Times New Roman" w:eastAsia="Times New Roman" w:hAnsi="Times New Roman"/>
          <w:sz w:val="22"/>
          <w:szCs w:val="22"/>
          <w:color w:val="auto"/>
        </w:rPr>
        <w:t>. Nothing in this Agreement shall change your status as an at-will employee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meaning that either the Company or you may terminate the employment relationship at any time and for any reason. In addition, for purposes of clarity and the avoidance of doubt, nothing in this Agreement shall change, modify or alter in any way your participation or rights in any Company plan, program, or arrangement in which you are participating or under which you have rights.</w:t>
      </w:r>
    </w:p>
    <w:p>
      <w:pPr>
        <w:spacing w:after="0" w:line="136" w:lineRule="exact"/>
        <w:rPr>
          <w:rFonts w:ascii="Times New Roman" w:cs="Times New Roman" w:eastAsia="Times New Roman" w:hAnsi="Times New Roman"/>
          <w:sz w:val="22"/>
          <w:szCs w:val="22"/>
          <w:color w:val="auto"/>
        </w:rPr>
      </w:pPr>
    </w:p>
    <w:p>
      <w:pPr>
        <w:ind w:right="40" w:firstLine="751"/>
        <w:spacing w:after="0" w:line="237" w:lineRule="auto"/>
        <w:tabs>
          <w:tab w:leader="none" w:pos="115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color w:val="auto"/>
        </w:rPr>
        <w:t>. It is intended that payments made under this Agreement be exempt from, or compliant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requirements of, Section 409A of the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and this Agreement shall be interpreted and administered in accordance with that intent. If any provision of this Agreement would otherwise conflict with or frustrate this intent, that provision will be interpreted and deemed amended so as to avoid the</w:t>
      </w:r>
    </w:p>
    <w:p>
      <w:pPr>
        <w:ind w:right="40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conflict. Any payments that qualify for the “short-term deferral” exception under Section 409A of the Code shall be paid under that applicable exception. Any references to termination of employment, date of termination or similar term shall mean and refer to the date of your</w:t>
      </w:r>
    </w:p>
    <w:p>
      <w:pPr>
        <w:spacing w:after="0" w:line="1" w:lineRule="exact"/>
        <w:rPr>
          <w:rFonts w:ascii="Times New Roman" w:cs="Times New Roman" w:eastAsia="Times New Roman" w:hAnsi="Times New Roman"/>
          <w:sz w:val="22"/>
          <w:szCs w:val="22"/>
          <w:color w:val="auto"/>
        </w:rPr>
      </w:pPr>
    </w:p>
    <w:p>
      <w:pPr>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“separation from service,” as that term is defined in Section 409A of the Code and Treasury Regulation Section 1.409A-1(h). Notwithstanding any other provision of this Agreement to the contrary, if you are considered a “specified employee” for purposes of Section 409A of the Code (as determined in accordance with the methodology established by the Company as in effect on the termination date), any payment under this Agreement that constitutes non-exempt,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211455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1440" w:right="359" w:bottom="1440" w:gutter="0" w:footer="0" w:header="0"/>
        </w:sectPr>
      </w:pPr>
    </w:p>
    <w:bookmarkStart w:id="35" w:name="page36"/>
    <w:bookmarkEnd w:id="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nonqualified deferred compensation within the meaning of Section 409A of the Code that is otherwise due to you under this Agreement during the six (6)-month period immediately following your separation from service (as determined in accordance with Section 409A of the Code) on account of your separation from service shall be accumulated and paid to you on the first (1st) business day of the seventh (7th) month following your separation from service (the “</w:t>
      </w:r>
      <w:r>
        <w:rPr>
          <w:rFonts w:ascii="Times New Roman" w:cs="Times New Roman" w:eastAsia="Times New Roman" w:hAnsi="Times New Roman"/>
          <w:sz w:val="22"/>
          <w:szCs w:val="22"/>
          <w:b w:val="1"/>
          <w:bCs w:val="1"/>
          <w:color w:val="auto"/>
        </w:rPr>
        <w:t>Delayed Payment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If you die during the postponement period, the amounts and entitlements delayed on account of Section 409A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Code shall be paid to the personal representative of your estate on the earlier of the Delayed Payment Date and thirty (30) calendar days after the date of your death.</w:t>
      </w:r>
    </w:p>
    <w:p>
      <w:pPr>
        <w:spacing w:after="0" w:line="139" w:lineRule="exact"/>
        <w:rPr>
          <w:sz w:val="20"/>
          <w:szCs w:val="20"/>
          <w:color w:val="auto"/>
        </w:rPr>
      </w:pPr>
    </w:p>
    <w:p>
      <w:pPr>
        <w:ind w:firstLine="751"/>
        <w:spacing w:after="0" w:line="245" w:lineRule="auto"/>
        <w:tabs>
          <w:tab w:leader="none" w:pos="1153"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Miscellaneous</w:t>
      </w:r>
      <w:r>
        <w:rPr>
          <w:rFonts w:ascii="Times New Roman" w:cs="Times New Roman" w:eastAsia="Times New Roman" w:hAnsi="Times New Roman"/>
          <w:sz w:val="21"/>
          <w:szCs w:val="21"/>
          <w:color w:val="auto"/>
        </w:rPr>
        <w:t>. This Agreement contains all of the understandings and representations between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you relating to any retention payment and supersedes all prior and contemporaneous understandings, discussions, agreements, representations and warranties, both written and oral, with respect to any retention payment. For the avoidance of doubt, this Agreement shall not supersede any other agreements between the Company and you, which shall remain in full force and effect. This Agreement shall be governed by the laws of the Commonwealth of Virginia without giving effect to the conflict of laws provisions thereof to the extent such rules would require or permit application of the laws of any other jurisdiction. This Agreement is personal to you and shall not be assignable by you other than by will or the laws of descent and distribution. This Agreement shall inure to the benefit of and be enforceable by your legal representatives. This Agreement shall inure to the benefit of and be binding upon the Company and its successors and assigns. As used in this Agreement, “Company” shall mean the Company as hereinbefore defined and its successors. No provision of this Agreement shall be modified or amended except by an instrument in writing duly executed by the parties hereto.</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223520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700" w:top="1440" w:right="379" w:bottom="1440" w:gutter="0" w:footer="0" w:header="0"/>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80" w:right="300" w:firstLine="758"/>
        <w:spacing w:after="0" w:line="258" w:lineRule="auto"/>
        <w:rPr>
          <w:sz w:val="20"/>
          <w:szCs w:val="20"/>
          <w:color w:val="auto"/>
        </w:rPr>
      </w:pPr>
      <w:r>
        <w:rPr>
          <w:rFonts w:ascii="Times New Roman" w:cs="Times New Roman" w:eastAsia="Times New Roman" w:hAnsi="Times New Roman"/>
          <w:sz w:val="22"/>
          <w:szCs w:val="22"/>
          <w:color w:val="auto"/>
        </w:rPr>
        <w:t>We look forward to a very promising future together with Nexstar. In order to be eligible to receive the Retention Payment, it is important that you sign this Agreement and return it to Alex Tolston as soon as practicable.</w:t>
      </w:r>
    </w:p>
    <w:p>
      <w:pPr>
        <w:spacing w:after="0" w:line="200" w:lineRule="exact"/>
        <w:rPr>
          <w:sz w:val="20"/>
          <w:szCs w:val="20"/>
          <w:color w:val="auto"/>
        </w:rPr>
      </w:pPr>
    </w:p>
    <w:p>
      <w:pPr>
        <w:spacing w:after="0" w:line="377" w:lineRule="exact"/>
        <w:rPr>
          <w:sz w:val="20"/>
          <w:szCs w:val="20"/>
          <w:color w:val="auto"/>
        </w:rPr>
      </w:pPr>
    </w:p>
    <w:tbl>
      <w:tblPr>
        <w:tblLayout w:type="fixed"/>
        <w:tblInd w:w="380" w:type="dxa"/>
        <w:tblCellMar>
          <w:top w:w="0" w:type="dxa"/>
          <w:left w:w="0" w:type="dxa"/>
          <w:bottom w:w="0" w:type="dxa"/>
          <w:right w:w="0" w:type="dxa"/>
        </w:tblCellMar>
      </w:tblPr>
      <w:tr>
        <w:trPr>
          <w:trHeight w:val="282"/>
        </w:trPr>
        <w:tc>
          <w:tcPr>
            <w:tcW w:w="6040" w:type="dxa"/>
            <w:vAlign w:val="bottom"/>
          </w:tcPr>
          <w:p>
            <w:pPr>
              <w:ind w:left="4500"/>
              <w:spacing w:after="0"/>
              <w:rPr>
                <w:sz w:val="20"/>
                <w:szCs w:val="20"/>
                <w:color w:val="auto"/>
              </w:rPr>
            </w:pPr>
            <w:r>
              <w:rPr>
                <w:rFonts w:ascii="Times New Roman" w:cs="Times New Roman" w:eastAsia="Times New Roman" w:hAnsi="Times New Roman"/>
                <w:sz w:val="22"/>
                <w:szCs w:val="22"/>
                <w:color w:val="auto"/>
              </w:rPr>
              <w:t>Sincerely,</w:t>
            </w:r>
          </w:p>
        </w:tc>
        <w:tc>
          <w:tcPr>
            <w:tcW w:w="4820" w:type="dxa"/>
            <w:vAlign w:val="bottom"/>
          </w:tcPr>
          <w:p>
            <w:pPr>
              <w:spacing w:after="0"/>
              <w:rPr>
                <w:sz w:val="24"/>
                <w:szCs w:val="24"/>
                <w:color w:val="auto"/>
              </w:rPr>
            </w:pPr>
          </w:p>
        </w:tc>
      </w:tr>
      <w:tr>
        <w:trPr>
          <w:trHeight w:val="717"/>
        </w:trPr>
        <w:tc>
          <w:tcPr>
            <w:tcW w:w="6040" w:type="dxa"/>
            <w:vAlign w:val="bottom"/>
          </w:tcPr>
          <w:p>
            <w:pPr>
              <w:ind w:left="5140"/>
              <w:spacing w:after="0"/>
              <w:rPr>
                <w:sz w:val="20"/>
                <w:szCs w:val="20"/>
                <w:color w:val="auto"/>
              </w:rPr>
            </w:pPr>
            <w:r>
              <w:rPr>
                <w:rFonts w:ascii="Times New Roman" w:cs="Times New Roman" w:eastAsia="Times New Roman" w:hAnsi="Times New Roman"/>
                <w:sz w:val="22"/>
                <w:szCs w:val="22"/>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Alex Tolston</w:t>
            </w:r>
          </w:p>
        </w:tc>
      </w:tr>
      <w:tr>
        <w:trPr>
          <w:trHeight w:val="209"/>
        </w:trPr>
        <w:tc>
          <w:tcPr>
            <w:tcW w:w="6040" w:type="dxa"/>
            <w:vAlign w:val="bottom"/>
          </w:tcPr>
          <w:p>
            <w:pPr>
              <w:ind w:left="5140"/>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48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Alex Tolston</w:t>
            </w:r>
          </w:p>
        </w:tc>
      </w:tr>
      <w:tr>
        <w:trPr>
          <w:trHeight w:val="243"/>
        </w:trPr>
        <w:tc>
          <w:tcPr>
            <w:tcW w:w="6040" w:type="dxa"/>
            <w:vAlign w:val="bottom"/>
          </w:tcPr>
          <w:p>
            <w:pPr>
              <w:ind w:left="5140"/>
              <w:spacing w:after="0" w:line="243" w:lineRule="exact"/>
              <w:rPr>
                <w:sz w:val="20"/>
                <w:szCs w:val="20"/>
                <w:color w:val="auto"/>
              </w:rPr>
            </w:pPr>
            <w:r>
              <w:rPr>
                <w:rFonts w:ascii="Times New Roman" w:cs="Times New Roman" w:eastAsia="Times New Roman" w:hAnsi="Times New Roman"/>
                <w:sz w:val="22"/>
                <w:szCs w:val="22"/>
                <w:color w:val="auto"/>
              </w:rPr>
              <w:t>Title:</w:t>
            </w:r>
          </w:p>
        </w:tc>
        <w:tc>
          <w:tcPr>
            <w:tcW w:w="48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Senior Vice President and</w:t>
            </w:r>
          </w:p>
        </w:tc>
      </w:tr>
      <w:tr>
        <w:trPr>
          <w:trHeight w:val="282"/>
        </w:trPr>
        <w:tc>
          <w:tcPr>
            <w:tcW w:w="604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22"/>
                <w:szCs w:val="22"/>
                <w:color w:val="auto"/>
              </w:rPr>
              <w:t>Chief Legal Officer</w:t>
            </w:r>
          </w:p>
        </w:tc>
      </w:tr>
      <w:tr>
        <w:trPr>
          <w:trHeight w:val="729"/>
        </w:trPr>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Accepted and Acknowledged as of the day first written above:</w:t>
            </w:r>
          </w:p>
        </w:tc>
        <w:tc>
          <w:tcPr>
            <w:tcW w:w="48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Mike Steib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71716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 Mike Steib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4"/>
          <w:szCs w:val="14"/>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2360930</wp:posOffset>
            </wp:positionH>
            <wp:positionV relativeFrom="paragraph">
              <wp:posOffset>340995</wp:posOffset>
            </wp:positionV>
            <wp:extent cx="1259840" cy="3003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125984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 Retention Award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18, 2025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Julie Heskett:</w:t>
      </w:r>
    </w:p>
    <w:p>
      <w:pPr>
        <w:spacing w:after="0" w:line="14" w:lineRule="exact"/>
        <w:rPr>
          <w:sz w:val="20"/>
          <w:szCs w:val="20"/>
          <w:color w:val="auto"/>
        </w:rPr>
      </w:pPr>
    </w:p>
    <w:p>
      <w:pPr>
        <w:ind w:right="80" w:firstLine="747"/>
        <w:spacing w:after="0" w:line="230" w:lineRule="auto"/>
        <w:rPr>
          <w:sz w:val="20"/>
          <w:szCs w:val="20"/>
          <w:color w:val="auto"/>
        </w:rPr>
      </w:pPr>
      <w:r>
        <w:rPr>
          <w:rFonts w:ascii="Times New Roman" w:cs="Times New Roman" w:eastAsia="Times New Roman" w:hAnsi="Times New Roman"/>
          <w:sz w:val="22"/>
          <w:szCs w:val="22"/>
          <w:color w:val="auto"/>
        </w:rPr>
        <w:t xml:space="preserve">As you know, TEGNA Inc. (the “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Nexstar Media Group, Inc. (“</w:t>
      </w:r>
      <w:r>
        <w:rPr>
          <w:rFonts w:ascii="Times New Roman" w:cs="Times New Roman" w:eastAsia="Times New Roman" w:hAnsi="Times New Roman"/>
          <w:sz w:val="22"/>
          <w:szCs w:val="22"/>
          <w:b w:val="1"/>
          <w:bCs w:val="1"/>
          <w:color w:val="auto"/>
        </w:rPr>
        <w:t>Nexstar</w:t>
      </w:r>
      <w:r>
        <w:rPr>
          <w:rFonts w:ascii="Times New Roman" w:cs="Times New Roman" w:eastAsia="Times New Roman" w:hAnsi="Times New Roman"/>
          <w:sz w:val="22"/>
          <w:szCs w:val="22"/>
          <w:color w:val="auto"/>
        </w:rPr>
        <w:t>”) and Teton Merger Sub, Inc. have entered into a merger agreement (the “</w:t>
      </w:r>
      <w:r>
        <w:rPr>
          <w:rFonts w:ascii="Times New Roman" w:cs="Times New Roman" w:eastAsia="Times New Roman" w:hAnsi="Times New Roman"/>
          <w:sz w:val="22"/>
          <w:szCs w:val="22"/>
          <w:b w:val="1"/>
          <w:bCs w:val="1"/>
          <w:color w:val="auto"/>
        </w:rPr>
        <w:t>Merger Agreement</w:t>
      </w:r>
      <w:r>
        <w:rPr>
          <w:rFonts w:ascii="Times New Roman" w:cs="Times New Roman" w:eastAsia="Times New Roman" w:hAnsi="Times New Roman"/>
          <w:sz w:val="22"/>
          <w:szCs w:val="22"/>
          <w:color w:val="auto"/>
        </w:rPr>
        <w:t>”) contemplating the acquisition of the Company by Nexstar pursuant to a merger (the “</w:t>
      </w:r>
      <w:r>
        <w:rPr>
          <w:rFonts w:ascii="Times New Roman" w:cs="Times New Roman" w:eastAsia="Times New Roman" w:hAnsi="Times New Roman"/>
          <w:sz w:val="22"/>
          <w:szCs w:val="22"/>
          <w:b w:val="1"/>
          <w:bCs w:val="1"/>
          <w:color w:val="auto"/>
        </w:rPr>
        <w:t>Merger</w:t>
      </w:r>
      <w:r>
        <w:rPr>
          <w:rFonts w:ascii="Times New Roman" w:cs="Times New Roman" w:eastAsia="Times New Roman" w:hAnsi="Times New Roman"/>
          <w:sz w:val="22"/>
          <w:szCs w:val="22"/>
          <w:color w:val="auto"/>
        </w:rPr>
        <w:t>”). We believe that the Merger is in the best interests of both our employees and stockholders.</w:t>
      </w:r>
    </w:p>
    <w:p>
      <w:pPr>
        <w:spacing w:after="0" w:line="2"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22"/>
          <w:szCs w:val="22"/>
          <w:color w:val="auto"/>
        </w:rPr>
        <w:t>However, we understand that the Merger may create uncertainty for our employees during the months that it is pending completion. Both the Company and Nexstar recognize that our most valuable asset is our employees and that those employees are essential to our past and continued success. More specifically, you are a valued employee, and we believe that you are in a position to make a significant contribution. Because retention of key employees of the Company is an essential consideration for us during this period, we are providing you with the opportunity to earn the retention payment described in this letter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p>
    <w:p>
      <w:pPr>
        <w:spacing w:after="0" w:line="138" w:lineRule="exact"/>
        <w:rPr>
          <w:sz w:val="20"/>
          <w:szCs w:val="20"/>
          <w:color w:val="auto"/>
        </w:rPr>
      </w:pPr>
    </w:p>
    <w:p>
      <w:pPr>
        <w:jc w:val="both"/>
        <w:ind w:right="240" w:firstLine="751"/>
        <w:spacing w:after="0" w:line="246" w:lineRule="auto"/>
        <w:tabs>
          <w:tab w:leader="none" w:pos="115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Retention Payment</w:t>
      </w:r>
      <w:r>
        <w:rPr>
          <w:rFonts w:ascii="Times New Roman" w:cs="Times New Roman" w:eastAsia="Times New Roman" w:hAnsi="Times New Roman"/>
          <w:sz w:val="22"/>
          <w:szCs w:val="22"/>
          <w:color w:val="auto"/>
        </w:rPr>
        <w:t>. Subject to the terms of this Agreement, you shall be eligible for, and the Company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 to you, a cash retention payment equal to $2,000,000 (the “</w:t>
      </w:r>
      <w:r>
        <w:rPr>
          <w:rFonts w:ascii="Times New Roman" w:cs="Times New Roman" w:eastAsia="Times New Roman" w:hAnsi="Times New Roman"/>
          <w:sz w:val="22"/>
          <w:szCs w:val="22"/>
          <w:b w:val="1"/>
          <w:bCs w:val="1"/>
          <w:color w:val="auto"/>
        </w:rPr>
        <w:t>Retention Payment</w:t>
      </w:r>
      <w:r>
        <w:rPr>
          <w:rFonts w:ascii="Times New Roman" w:cs="Times New Roman" w:eastAsia="Times New Roman" w:hAnsi="Times New Roman"/>
          <w:sz w:val="22"/>
          <w:szCs w:val="22"/>
          <w:color w:val="auto"/>
        </w:rPr>
        <w:t>”), which shall vest as follows, subject to your continuous employment through each such date:</w:t>
      </w:r>
    </w:p>
    <w:p>
      <w:pPr>
        <w:spacing w:after="0" w:line="131" w:lineRule="exact"/>
        <w:rPr>
          <w:sz w:val="20"/>
          <w:szCs w:val="20"/>
          <w:color w:val="auto"/>
        </w:rPr>
      </w:pPr>
    </w:p>
    <w:p>
      <w:pPr>
        <w:ind w:left="1080" w:right="1180" w:hanging="329"/>
        <w:spacing w:after="0" w:line="244" w:lineRule="auto"/>
        <w:tabs>
          <w:tab w:leader="none" w:pos="10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Merger closes before the second anniversary of the date of the Merger Agreement, 50% upon the closing of the Merger and 50% upon the second anniversary of the date of the Merger Agreement; or</w:t>
      </w:r>
    </w:p>
    <w:p>
      <w:pPr>
        <w:spacing w:after="0" w:line="132" w:lineRule="exact"/>
        <w:rPr>
          <w:rFonts w:ascii="Times New Roman" w:cs="Times New Roman" w:eastAsia="Times New Roman" w:hAnsi="Times New Roman"/>
          <w:sz w:val="22"/>
          <w:szCs w:val="22"/>
          <w:color w:val="auto"/>
        </w:rPr>
      </w:pPr>
    </w:p>
    <w:p>
      <w:pPr>
        <w:ind w:left="1120" w:right="360" w:hanging="369"/>
        <w:spacing w:after="0" w:line="258" w:lineRule="auto"/>
        <w:tabs>
          <w:tab w:leader="none" w:pos="11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Merger does not close before the second anniversary of the date of the Merger Agreement, 100% upon the second anniversary of the date of the Merger Agreement.</w:t>
      </w:r>
    </w:p>
    <w:p>
      <w:pPr>
        <w:spacing w:after="0" w:line="127" w:lineRule="exact"/>
        <w:rPr>
          <w:sz w:val="20"/>
          <w:szCs w:val="20"/>
          <w:color w:val="auto"/>
        </w:rPr>
      </w:pPr>
    </w:p>
    <w:p>
      <w:pPr>
        <w:ind w:right="260" w:firstLine="747"/>
        <w:spacing w:after="0" w:line="235" w:lineRule="auto"/>
        <w:rPr>
          <w:sz w:val="20"/>
          <w:szCs w:val="20"/>
          <w:color w:val="auto"/>
        </w:rPr>
      </w:pPr>
      <w:r>
        <w:rPr>
          <w:rFonts w:ascii="Times New Roman" w:cs="Times New Roman" w:eastAsia="Times New Roman" w:hAnsi="Times New Roman"/>
          <w:sz w:val="22"/>
          <w:szCs w:val="22"/>
          <w:color w:val="auto"/>
        </w:rPr>
        <w:t>For purposes of this Agreement, the term “</w:t>
      </w:r>
      <w:r>
        <w:rPr>
          <w:rFonts w:ascii="Times New Roman" w:cs="Times New Roman" w:eastAsia="Times New Roman" w:hAnsi="Times New Roman"/>
          <w:sz w:val="22"/>
          <w:szCs w:val="22"/>
          <w:b w:val="1"/>
          <w:bCs w:val="1"/>
          <w:color w:val="auto"/>
        </w:rPr>
        <w:t>Vesting Date</w:t>
      </w:r>
      <w:r>
        <w:rPr>
          <w:rFonts w:ascii="Times New Roman" w:cs="Times New Roman" w:eastAsia="Times New Roman" w:hAnsi="Times New Roman"/>
          <w:sz w:val="22"/>
          <w:szCs w:val="22"/>
          <w:color w:val="auto"/>
        </w:rPr>
        <w:t>” means the date on which the applicable portion of the Retention Payment vests. Notwithstanding the foregoing, you shall be eligible for, and the Company shall pay, any unpaid portion of the Retention Payment to you if, before any Vesting Date, (i) following the closing of the Merger, the Company terminates your employment with the Company or its affiliates without Cause or you resign your employment for Good Reason, or (ii) your employment is terminated by reason of your death or permanent</w:t>
      </w:r>
    </w:p>
    <w:p>
      <w:pPr>
        <w:spacing w:after="0" w:line="4" w:lineRule="exact"/>
        <w:rPr>
          <w:sz w:val="20"/>
          <w:szCs w:val="20"/>
          <w:color w:val="auto"/>
        </w:rPr>
      </w:pPr>
    </w:p>
    <w:p>
      <w:pPr>
        <w:ind w:right="1080"/>
        <w:spacing w:after="0" w:line="237" w:lineRule="auto"/>
        <w:rPr>
          <w:sz w:val="20"/>
          <w:szCs w:val="20"/>
          <w:color w:val="auto"/>
        </w:rPr>
      </w:pPr>
      <w:r>
        <w:rPr>
          <w:rFonts w:ascii="Times New Roman" w:cs="Times New Roman" w:eastAsia="Times New Roman" w:hAnsi="Times New Roman"/>
          <w:sz w:val="22"/>
          <w:szCs w:val="22"/>
          <w:color w:val="auto"/>
        </w:rPr>
        <w:t>disability (as determined under the Company’s Long Term Disability Plan) (any such termination, a “</w:t>
      </w:r>
      <w:r>
        <w:rPr>
          <w:rFonts w:ascii="Times New Roman" w:cs="Times New Roman" w:eastAsia="Times New Roman" w:hAnsi="Times New Roman"/>
          <w:sz w:val="22"/>
          <w:szCs w:val="22"/>
          <w:b w:val="1"/>
          <w:bCs w:val="1"/>
          <w:color w:val="auto"/>
        </w:rPr>
        <w:t>Qualifying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Termination</w:t>
      </w:r>
      <w:r>
        <w:rPr>
          <w:rFonts w:ascii="Times New Roman" w:cs="Times New Roman" w:eastAsia="Times New Roman" w:hAnsi="Times New Roman"/>
          <w:sz w:val="22"/>
          <w:szCs w:val="22"/>
          <w:color w:val="auto"/>
        </w:rPr>
        <w:t>”).</w:t>
      </w:r>
    </w:p>
    <w:p>
      <w:pPr>
        <w:spacing w:after="0" w:line="138" w:lineRule="exact"/>
        <w:rPr>
          <w:sz w:val="20"/>
          <w:szCs w:val="20"/>
          <w:color w:val="auto"/>
        </w:rPr>
      </w:pPr>
    </w:p>
    <w:p>
      <w:pPr>
        <w:ind w:right="240" w:firstLine="747"/>
        <w:spacing w:after="0" w:line="244" w:lineRule="auto"/>
        <w:rPr>
          <w:sz w:val="20"/>
          <w:szCs w:val="20"/>
          <w:color w:val="auto"/>
        </w:rPr>
      </w:pPr>
      <w:r>
        <w:rPr>
          <w:rFonts w:ascii="Times New Roman" w:cs="Times New Roman" w:eastAsia="Times New Roman" w:hAnsi="Times New Roman"/>
          <w:sz w:val="22"/>
          <w:szCs w:val="22"/>
          <w:color w:val="auto"/>
        </w:rPr>
        <w:t>You shall not be eligible for, and shall not be paid, any unvested portion of the Retention Payment if your employment with the Company is terminated for any reason other than a Qualifying Termination on or prior to the Vesting Date, including, without limitation, a termination due to resignation or termination for Cause.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0"/>
          <w:szCs w:val="20"/>
          <w:color w:val="808080"/>
        </w:rPr>
        <w:t>8350 B</w:t>
      </w:r>
      <w:r>
        <w:rPr>
          <w:rFonts w:ascii="Arial" w:cs="Arial" w:eastAsia="Arial" w:hAnsi="Arial"/>
          <w:sz w:val="16"/>
          <w:szCs w:val="16"/>
          <w:color w:val="808080"/>
        </w:rPr>
        <w:t>ROAD</w:t>
      </w:r>
      <w:r>
        <w:rPr>
          <w:rFonts w:ascii="Arial" w:cs="Arial" w:eastAsia="Arial" w:hAnsi="Arial"/>
          <w:sz w:val="20"/>
          <w:szCs w:val="20"/>
          <w:color w:val="808080"/>
        </w:rPr>
        <w:t xml:space="preserve"> S</w:t>
      </w:r>
      <w:r>
        <w:rPr>
          <w:rFonts w:ascii="Arial" w:cs="Arial" w:eastAsia="Arial" w:hAnsi="Arial"/>
          <w:sz w:val="16"/>
          <w:szCs w:val="16"/>
          <w:color w:val="808080"/>
        </w:rPr>
        <w:t>T</w:t>
      </w:r>
      <w:r>
        <w:rPr>
          <w:rFonts w:ascii="Arial" w:cs="Arial" w:eastAsia="Arial" w:hAnsi="Arial"/>
          <w:sz w:val="20"/>
          <w:szCs w:val="20"/>
          <w:color w:val="808080"/>
        </w:rPr>
        <w:t>. ∙ S</w:t>
      </w:r>
      <w:r>
        <w:rPr>
          <w:rFonts w:ascii="Arial" w:cs="Arial" w:eastAsia="Arial" w:hAnsi="Arial"/>
          <w:sz w:val="16"/>
          <w:szCs w:val="16"/>
          <w:color w:val="808080"/>
        </w:rPr>
        <w:t>UITE</w:t>
      </w:r>
      <w:r>
        <w:rPr>
          <w:rFonts w:ascii="Arial" w:cs="Arial" w:eastAsia="Arial" w:hAnsi="Arial"/>
          <w:sz w:val="20"/>
          <w:szCs w:val="20"/>
          <w:color w:val="808080"/>
        </w:rPr>
        <w:t xml:space="preserve"> 2000 ∙ T</w:t>
      </w:r>
      <w:r>
        <w:rPr>
          <w:rFonts w:ascii="Arial" w:cs="Arial" w:eastAsia="Arial" w:hAnsi="Arial"/>
          <w:sz w:val="16"/>
          <w:szCs w:val="16"/>
          <w:color w:val="808080"/>
        </w:rPr>
        <w:t>YSONS</w:t>
      </w:r>
      <w:r>
        <w:rPr>
          <w:rFonts w:ascii="Arial" w:cs="Arial" w:eastAsia="Arial" w:hAnsi="Arial"/>
          <w:sz w:val="20"/>
          <w:szCs w:val="20"/>
          <w:color w:val="808080"/>
        </w:rPr>
        <w:t>, VA 22102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215265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306" w:right="339" w:bottom="1440" w:gutter="0" w:footer="0" w:header="0"/>
        </w:sectPr>
      </w:pPr>
    </w:p>
    <w:bookmarkStart w:id="38" w:name="page39"/>
    <w:bookmarkEnd w:id="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20" w:firstLine="747"/>
        <w:spacing w:after="0" w:line="262" w:lineRule="auto"/>
        <w:rPr>
          <w:sz w:val="20"/>
          <w:szCs w:val="20"/>
          <w:color w:val="auto"/>
        </w:rPr>
      </w:pPr>
      <w:r>
        <w:rPr>
          <w:rFonts w:ascii="Times New Roman" w:cs="Times New Roman" w:eastAsia="Times New Roman" w:hAnsi="Times New Roman"/>
          <w:sz w:val="22"/>
          <w:szCs w:val="22"/>
          <w:color w:val="auto"/>
        </w:rPr>
        <w:t>For purposes of this Agreement the terms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shall have the meanings set forth in the TEGNA Inc. 2015 Change in Control Severance Plan (based on the plan document in effect as of the date hereof).</w:t>
      </w:r>
    </w:p>
    <w:p>
      <w:pPr>
        <w:spacing w:after="0" w:line="109" w:lineRule="exact"/>
        <w:rPr>
          <w:sz w:val="20"/>
          <w:szCs w:val="20"/>
          <w:color w:val="auto"/>
        </w:rPr>
      </w:pPr>
    </w:p>
    <w:p>
      <w:pPr>
        <w:ind w:right="20" w:firstLine="751"/>
        <w:spacing w:after="0" w:line="235" w:lineRule="auto"/>
        <w:tabs>
          <w:tab w:leader="none" w:pos="115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Release; Time of Payment</w:t>
      </w:r>
      <w:r>
        <w:rPr>
          <w:rFonts w:ascii="Times New Roman" w:cs="Times New Roman" w:eastAsia="Times New Roman" w:hAnsi="Times New Roman"/>
          <w:sz w:val="22"/>
          <w:szCs w:val="22"/>
          <w:color w:val="auto"/>
        </w:rPr>
        <w:t>. The Company may require that, as a condition to your receipt of any portion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Retention Payment upon a Qualifying Termination (other than termination due to death), you execute a customary release of claims in favor of the Company and its affiliates in a form provided by the Company (which shall not contain new restrictive covenants) (the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xml:space="preserve">”). The Company shall pay any vested portion of the Retention Payment to you in one lump sum cash payment (net of applicable withholdings and deductions) on the first regularly scheduled payroll date after the Vesting Date or, if earlier, the first regularly scheduled payroll date after the date of your Qualifying Termination;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the Company requires that you sign a Release as a condition to receive such payment upon a Qualifying Termination (other than termination due to death), such payment will not be made prior to the date on which the Release becomes effective and nonrevocable in accordance with its terms.</w:t>
      </w:r>
    </w:p>
    <w:p>
      <w:pPr>
        <w:spacing w:after="0" w:line="146" w:lineRule="exact"/>
        <w:rPr>
          <w:rFonts w:ascii="Times New Roman" w:cs="Times New Roman" w:eastAsia="Times New Roman" w:hAnsi="Times New Roman"/>
          <w:sz w:val="22"/>
          <w:szCs w:val="22"/>
          <w:color w:val="auto"/>
        </w:rPr>
      </w:pPr>
    </w:p>
    <w:p>
      <w:pPr>
        <w:jc w:val="both"/>
        <w:ind w:right="400" w:firstLine="751"/>
        <w:spacing w:after="0" w:line="241" w:lineRule="auto"/>
        <w:tabs>
          <w:tab w:leader="none" w:pos="114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Retention Payment</w:t>
      </w:r>
      <w:r>
        <w:rPr>
          <w:rFonts w:ascii="Times New Roman" w:cs="Times New Roman" w:eastAsia="Times New Roman" w:hAnsi="Times New Roman"/>
          <w:sz w:val="22"/>
          <w:szCs w:val="22"/>
          <w:color w:val="auto"/>
        </w:rPr>
        <w:t>. For purposes of this Agreement and any severance, change in control plan, or similar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or policy, the Retention Payment shall be treated as a retention payment and not a severance payment. Accordingly, the Retention Payment shall not offset any other severance or similar obligation of the Company under any other plan or policy.</w:t>
      </w:r>
    </w:p>
    <w:p>
      <w:pPr>
        <w:spacing w:after="0" w:line="131" w:lineRule="exact"/>
        <w:rPr>
          <w:rFonts w:ascii="Times New Roman" w:cs="Times New Roman" w:eastAsia="Times New Roman" w:hAnsi="Times New Roman"/>
          <w:sz w:val="22"/>
          <w:szCs w:val="22"/>
          <w:color w:val="auto"/>
        </w:rPr>
      </w:pPr>
    </w:p>
    <w:p>
      <w:pPr>
        <w:ind w:right="260" w:firstLine="751"/>
        <w:spacing w:after="0" w:line="238" w:lineRule="auto"/>
        <w:tabs>
          <w:tab w:leader="none" w:pos="114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At-will Employment</w:t>
      </w:r>
      <w:r>
        <w:rPr>
          <w:rFonts w:ascii="Times New Roman" w:cs="Times New Roman" w:eastAsia="Times New Roman" w:hAnsi="Times New Roman"/>
          <w:sz w:val="22"/>
          <w:szCs w:val="22"/>
          <w:color w:val="auto"/>
        </w:rPr>
        <w:t>. Nothing in this Agreement shall change your status as an at-will employee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meaning that either the Company or you may terminate the employment relationship at any time and for any reason. In addition, for purposes of clarity and the avoidance of doubt, nothing in this Agreement shall change, modify or alter in any way your participation or rights in any Company plan, program, or arrangement in which you are participating or under which you have rights.</w:t>
      </w:r>
    </w:p>
    <w:p>
      <w:pPr>
        <w:spacing w:after="0" w:line="136" w:lineRule="exact"/>
        <w:rPr>
          <w:rFonts w:ascii="Times New Roman" w:cs="Times New Roman" w:eastAsia="Times New Roman" w:hAnsi="Times New Roman"/>
          <w:sz w:val="22"/>
          <w:szCs w:val="22"/>
          <w:color w:val="auto"/>
        </w:rPr>
      </w:pPr>
    </w:p>
    <w:p>
      <w:pPr>
        <w:ind w:right="40" w:firstLine="751"/>
        <w:spacing w:after="0" w:line="237" w:lineRule="auto"/>
        <w:tabs>
          <w:tab w:leader="none" w:pos="1151"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color w:val="auto"/>
        </w:rPr>
        <w:t>. It is intended that payments made under this Agreement be exempt from, or compliant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requirements of, Section 409A of the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and this Agreement shall be interpreted and administered in accordance with that intent. If any provision of this Agreement would otherwise conflict with or frustrate this intent, that provision will be interpreted and deemed amended so as to avoid the</w:t>
      </w:r>
    </w:p>
    <w:p>
      <w:pPr>
        <w:ind w:right="40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conflict. Any payments that qualify for the “short-term deferral” exception under Section 409A of the Code shall be paid under that applicable exception. Any references to termination of employment, date of termination or similar term shall mean and refer to the date of your</w:t>
      </w:r>
    </w:p>
    <w:p>
      <w:pPr>
        <w:spacing w:after="0" w:line="1" w:lineRule="exact"/>
        <w:rPr>
          <w:rFonts w:ascii="Times New Roman" w:cs="Times New Roman" w:eastAsia="Times New Roman" w:hAnsi="Times New Roman"/>
          <w:sz w:val="22"/>
          <w:szCs w:val="22"/>
          <w:color w:val="auto"/>
        </w:rPr>
      </w:pPr>
    </w:p>
    <w:p>
      <w:pPr>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“separation from service,” as that term is defined in Section 409A of the Code and Treasury Regulation Section 1.409A-1(h). Notwithstanding any other provision of this Agreement to the contrary, if you are considered a “specified employee” for purposes of Section 409A of the Code (as determined in accordance with the methodology established by the Company as in effect on the termination date), any payment under this Agreement that constitutes non-exempt,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211455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1440" w:right="359" w:bottom="1440" w:gutter="0" w:footer="0" w:header="0"/>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nonqualified deferred compensation within the meaning of Section 409A of the Code that is otherwise due to you under this Agreement during the six (6)-month period immediately following your separation from service (as determined in accordance with Section 409A of the Code) on account of your separation from service shall be accumulated and paid to you on the first (1st) business day of the seventh (7th) month following your separation from service (the “</w:t>
      </w:r>
      <w:r>
        <w:rPr>
          <w:rFonts w:ascii="Times New Roman" w:cs="Times New Roman" w:eastAsia="Times New Roman" w:hAnsi="Times New Roman"/>
          <w:sz w:val="22"/>
          <w:szCs w:val="22"/>
          <w:b w:val="1"/>
          <w:bCs w:val="1"/>
          <w:color w:val="auto"/>
        </w:rPr>
        <w:t>Delayed Payment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If you die during the postponement period, the amounts and entitlements delayed on account of Section 409A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Code shall be paid to the personal representative of your estate on the earlier of the Delayed Payment Date and thirty (30) calendar days after the date of your death.</w:t>
      </w:r>
    </w:p>
    <w:p>
      <w:pPr>
        <w:spacing w:after="0" w:line="139" w:lineRule="exact"/>
        <w:rPr>
          <w:sz w:val="20"/>
          <w:szCs w:val="20"/>
          <w:color w:val="auto"/>
        </w:rPr>
      </w:pPr>
    </w:p>
    <w:p>
      <w:pPr>
        <w:ind w:firstLine="751"/>
        <w:spacing w:after="0" w:line="245" w:lineRule="auto"/>
        <w:tabs>
          <w:tab w:leader="none" w:pos="1153"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Miscellaneous</w:t>
      </w:r>
      <w:r>
        <w:rPr>
          <w:rFonts w:ascii="Times New Roman" w:cs="Times New Roman" w:eastAsia="Times New Roman" w:hAnsi="Times New Roman"/>
          <w:sz w:val="21"/>
          <w:szCs w:val="21"/>
          <w:color w:val="auto"/>
        </w:rPr>
        <w:t>. This Agreement contains all of the understandings and representations between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you relating to any retention payment and supersedes all prior and contemporaneous understandings, discussions, agreements, representations and warranties, both written and oral, with respect to any retention payment. For the avoidance of doubt, this Agreement shall not supersede any other agreements between the Company and you, which shall remain in full force and effect. This Agreement shall be governed by the laws of the Commonwealth of Virginia without giving effect to the conflict of laws provisions thereof to the extent such rules would require or permit application of the laws of any other jurisdiction. This Agreement is personal to you and shall not be assignable by you other than by will or the laws of descent and distribution. This Agreement shall inure to the benefit of and be enforceable by your legal representatives. This Agreement shall inure to the benefit of and be binding upon the Company and its successors and assigns. As used in this Agreement, “Company” shall mean the Company as hereinbefore defined and its successors. No provision of this Agreement shall be modified or amended except by an instrument in writing duly executed by the parties hereto.</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223520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700" w:top="1440" w:right="379" w:bottom="1440" w:gutter="0" w:footer="0" w:header="0"/>
        </w:sectPr>
      </w:pPr>
    </w:p>
    <w:bookmarkStart w:id="40" w:name="page41"/>
    <w:bookmarkEnd w:id="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80" w:right="300" w:firstLine="758"/>
        <w:spacing w:after="0" w:line="258" w:lineRule="auto"/>
        <w:rPr>
          <w:sz w:val="20"/>
          <w:szCs w:val="20"/>
          <w:color w:val="auto"/>
        </w:rPr>
      </w:pPr>
      <w:r>
        <w:rPr>
          <w:rFonts w:ascii="Times New Roman" w:cs="Times New Roman" w:eastAsia="Times New Roman" w:hAnsi="Times New Roman"/>
          <w:sz w:val="22"/>
          <w:szCs w:val="22"/>
          <w:color w:val="auto"/>
        </w:rPr>
        <w:t>We look forward to a very promising future together with Nexstar. In order to be eligible to receive the Retention Payment, it is important that you sign this Agreement and return it to Alex Tolston as soon as practicable.</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420" w:type="dxa"/>
            <w:vAlign w:val="bottom"/>
            <w:gridSpan w:val="2"/>
          </w:tcPr>
          <w:p>
            <w:pPr>
              <w:ind w:left="4880"/>
              <w:spacing w:after="0"/>
              <w:rPr>
                <w:sz w:val="20"/>
                <w:szCs w:val="20"/>
                <w:color w:val="auto"/>
              </w:rPr>
            </w:pPr>
            <w:r>
              <w:rPr>
                <w:rFonts w:ascii="Times New Roman" w:cs="Times New Roman" w:eastAsia="Times New Roman" w:hAnsi="Times New Roman"/>
                <w:sz w:val="22"/>
                <w:szCs w:val="22"/>
                <w:color w:val="auto"/>
              </w:rPr>
              <w:t>Sincerely,</w:t>
            </w:r>
          </w:p>
        </w:tc>
        <w:tc>
          <w:tcPr>
            <w:tcW w:w="4820" w:type="dxa"/>
            <w:vAlign w:val="bottom"/>
          </w:tcPr>
          <w:p>
            <w:pPr>
              <w:spacing w:after="0"/>
              <w:rPr>
                <w:sz w:val="24"/>
                <w:szCs w:val="24"/>
                <w:color w:val="auto"/>
              </w:rPr>
            </w:pPr>
          </w:p>
        </w:tc>
      </w:tr>
      <w:tr>
        <w:trPr>
          <w:trHeight w:val="474"/>
        </w:trPr>
        <w:tc>
          <w:tcPr>
            <w:tcW w:w="6420" w:type="dxa"/>
            <w:vAlign w:val="bottom"/>
            <w:gridSpan w:val="2"/>
          </w:tcPr>
          <w:p>
            <w:pPr>
              <w:ind w:left="5400"/>
              <w:spacing w:after="0"/>
              <w:rPr>
                <w:sz w:val="20"/>
                <w:szCs w:val="20"/>
                <w:color w:val="auto"/>
              </w:rPr>
            </w:pPr>
            <w:r>
              <w:rPr>
                <w:rFonts w:ascii="Times New Roman" w:cs="Times New Roman" w:eastAsia="Times New Roman" w:hAnsi="Times New Roman"/>
                <w:sz w:val="22"/>
                <w:szCs w:val="22"/>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Alex Tolston</w:t>
            </w:r>
          </w:p>
        </w:tc>
      </w:tr>
      <w:tr>
        <w:trPr>
          <w:trHeight w:val="209"/>
        </w:trPr>
        <w:tc>
          <w:tcPr>
            <w:tcW w:w="6420" w:type="dxa"/>
            <w:vAlign w:val="bottom"/>
            <w:gridSpan w:val="2"/>
          </w:tcPr>
          <w:p>
            <w:pPr>
              <w:ind w:left="5400"/>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48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Alex Tolston</w:t>
            </w:r>
          </w:p>
        </w:tc>
      </w:tr>
      <w:tr>
        <w:trPr>
          <w:trHeight w:val="243"/>
        </w:trPr>
        <w:tc>
          <w:tcPr>
            <w:tcW w:w="6420" w:type="dxa"/>
            <w:vAlign w:val="bottom"/>
            <w:gridSpan w:val="2"/>
          </w:tcPr>
          <w:p>
            <w:pPr>
              <w:ind w:left="5400"/>
              <w:spacing w:after="0" w:line="243" w:lineRule="exact"/>
              <w:rPr>
                <w:sz w:val="20"/>
                <w:szCs w:val="20"/>
                <w:color w:val="auto"/>
              </w:rPr>
            </w:pPr>
            <w:r>
              <w:rPr>
                <w:rFonts w:ascii="Times New Roman" w:cs="Times New Roman" w:eastAsia="Times New Roman" w:hAnsi="Times New Roman"/>
                <w:sz w:val="22"/>
                <w:szCs w:val="22"/>
                <w:color w:val="auto"/>
              </w:rPr>
              <w:t>Title:</w:t>
            </w:r>
          </w:p>
        </w:tc>
        <w:tc>
          <w:tcPr>
            <w:tcW w:w="48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Senior Vice President and</w:t>
            </w:r>
          </w:p>
        </w:tc>
      </w:tr>
      <w:tr>
        <w:trPr>
          <w:trHeight w:val="282"/>
        </w:trPr>
        <w:tc>
          <w:tcPr>
            <w:tcW w:w="5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22"/>
                <w:szCs w:val="22"/>
                <w:color w:val="auto"/>
              </w:rPr>
              <w:t>Chief Legal Officer</w:t>
            </w:r>
          </w:p>
        </w:tc>
      </w:tr>
      <w:tr>
        <w:trPr>
          <w:trHeight w:val="851"/>
        </w:trPr>
        <w:tc>
          <w:tcPr>
            <w:tcW w:w="6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Accepted and Acknowledged as of the day first written above:</w:t>
            </w:r>
          </w:p>
        </w:tc>
        <w:tc>
          <w:tcPr>
            <w:tcW w:w="4820" w:type="dxa"/>
            <w:vAlign w:val="bottom"/>
          </w:tcPr>
          <w:p>
            <w:pPr>
              <w:spacing w:after="0"/>
              <w:rPr>
                <w:sz w:val="24"/>
                <w:szCs w:val="24"/>
                <w:color w:val="auto"/>
              </w:rPr>
            </w:pPr>
          </w:p>
        </w:tc>
      </w:tr>
      <w:tr>
        <w:trPr>
          <w:trHeight w:val="663"/>
        </w:trPr>
        <w:tc>
          <w:tcPr>
            <w:tcW w:w="6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Julie Heskett</w:t>
            </w:r>
          </w:p>
        </w:tc>
        <w:tc>
          <w:tcPr>
            <w:tcW w:w="4820" w:type="dxa"/>
            <w:vAlign w:val="bottom"/>
          </w:tcPr>
          <w:p>
            <w:pPr>
              <w:spacing w:after="0"/>
              <w:rPr>
                <w:sz w:val="24"/>
                <w:szCs w:val="24"/>
                <w:color w:val="auto"/>
              </w:rPr>
            </w:pPr>
          </w:p>
        </w:tc>
      </w:tr>
      <w:tr>
        <w:trPr>
          <w:trHeight w:val="276"/>
        </w:trPr>
        <w:tc>
          <w:tcPr>
            <w:tcW w:w="5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Name: Julie Heskett</w:t>
            </w:r>
          </w:p>
        </w:tc>
        <w:tc>
          <w:tcPr>
            <w:tcW w:w="800" w:type="dxa"/>
            <w:vAlign w:val="bottom"/>
          </w:tcPr>
          <w:p>
            <w:pPr>
              <w:spacing w:after="0"/>
              <w:rPr>
                <w:sz w:val="23"/>
                <w:szCs w:val="23"/>
                <w:color w:val="auto"/>
              </w:rPr>
            </w:pPr>
          </w:p>
        </w:tc>
        <w:tc>
          <w:tcPr>
            <w:tcW w:w="4820" w:type="dxa"/>
            <w:vAlign w:val="bottom"/>
          </w:tcPr>
          <w:p>
            <w:pPr>
              <w:spacing w:after="0"/>
              <w:rPr>
                <w:sz w:val="23"/>
                <w:szCs w:val="23"/>
                <w:color w:val="auto"/>
              </w:rPr>
            </w:pPr>
          </w:p>
        </w:tc>
      </w:tr>
      <w:tr>
        <w:trPr>
          <w:trHeight w:val="535"/>
        </w:trPr>
        <w:tc>
          <w:tcPr>
            <w:tcW w:w="56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4"/>
          <w:szCs w:val="14"/>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2360930</wp:posOffset>
            </wp:positionH>
            <wp:positionV relativeFrom="paragraph">
              <wp:posOffset>186690</wp:posOffset>
            </wp:positionV>
            <wp:extent cx="1259840" cy="3003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125984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 Retention Award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18, 2025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Thomas Cox:</w:t>
      </w:r>
    </w:p>
    <w:p>
      <w:pPr>
        <w:spacing w:after="0" w:line="14" w:lineRule="exact"/>
        <w:rPr>
          <w:sz w:val="20"/>
          <w:szCs w:val="20"/>
          <w:color w:val="auto"/>
        </w:rPr>
      </w:pPr>
    </w:p>
    <w:p>
      <w:pPr>
        <w:ind w:right="80" w:firstLine="747"/>
        <w:spacing w:after="0" w:line="230" w:lineRule="auto"/>
        <w:rPr>
          <w:sz w:val="20"/>
          <w:szCs w:val="20"/>
          <w:color w:val="auto"/>
        </w:rPr>
      </w:pPr>
      <w:r>
        <w:rPr>
          <w:rFonts w:ascii="Times New Roman" w:cs="Times New Roman" w:eastAsia="Times New Roman" w:hAnsi="Times New Roman"/>
          <w:sz w:val="22"/>
          <w:szCs w:val="22"/>
          <w:color w:val="auto"/>
        </w:rPr>
        <w:t xml:space="preserve">As you know, TEGNA Inc. (the “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Nexstar Media Group, Inc. (“</w:t>
      </w:r>
      <w:r>
        <w:rPr>
          <w:rFonts w:ascii="Times New Roman" w:cs="Times New Roman" w:eastAsia="Times New Roman" w:hAnsi="Times New Roman"/>
          <w:sz w:val="22"/>
          <w:szCs w:val="22"/>
          <w:b w:val="1"/>
          <w:bCs w:val="1"/>
          <w:color w:val="auto"/>
        </w:rPr>
        <w:t>Nexstar</w:t>
      </w:r>
      <w:r>
        <w:rPr>
          <w:rFonts w:ascii="Times New Roman" w:cs="Times New Roman" w:eastAsia="Times New Roman" w:hAnsi="Times New Roman"/>
          <w:sz w:val="22"/>
          <w:szCs w:val="22"/>
          <w:color w:val="auto"/>
        </w:rPr>
        <w:t>”) and Teton Merger Sub, Inc. have entered into a merger agreement (the “</w:t>
      </w:r>
      <w:r>
        <w:rPr>
          <w:rFonts w:ascii="Times New Roman" w:cs="Times New Roman" w:eastAsia="Times New Roman" w:hAnsi="Times New Roman"/>
          <w:sz w:val="22"/>
          <w:szCs w:val="22"/>
          <w:b w:val="1"/>
          <w:bCs w:val="1"/>
          <w:color w:val="auto"/>
        </w:rPr>
        <w:t>Merger Agreement</w:t>
      </w:r>
      <w:r>
        <w:rPr>
          <w:rFonts w:ascii="Times New Roman" w:cs="Times New Roman" w:eastAsia="Times New Roman" w:hAnsi="Times New Roman"/>
          <w:sz w:val="22"/>
          <w:szCs w:val="22"/>
          <w:color w:val="auto"/>
        </w:rPr>
        <w:t>”) contemplating the acquisition of the Company by Nexstar pursuant to a merger (the “</w:t>
      </w:r>
      <w:r>
        <w:rPr>
          <w:rFonts w:ascii="Times New Roman" w:cs="Times New Roman" w:eastAsia="Times New Roman" w:hAnsi="Times New Roman"/>
          <w:sz w:val="22"/>
          <w:szCs w:val="22"/>
          <w:b w:val="1"/>
          <w:bCs w:val="1"/>
          <w:color w:val="auto"/>
        </w:rPr>
        <w:t>Merger</w:t>
      </w:r>
      <w:r>
        <w:rPr>
          <w:rFonts w:ascii="Times New Roman" w:cs="Times New Roman" w:eastAsia="Times New Roman" w:hAnsi="Times New Roman"/>
          <w:sz w:val="22"/>
          <w:szCs w:val="22"/>
          <w:color w:val="auto"/>
        </w:rPr>
        <w:t>”). We believe that the Merger is in the best interests of both our employees and stockholders.</w:t>
      </w:r>
    </w:p>
    <w:p>
      <w:pPr>
        <w:spacing w:after="0" w:line="2"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22"/>
          <w:szCs w:val="22"/>
          <w:color w:val="auto"/>
        </w:rPr>
        <w:t>However, we understand that the Merger may create uncertainty for our employees during the months that it is pending completion. Both the Company and Nexstar recognize that our most valuable asset is our employees and that those employees are essential to our past and continued success. More specifically, you are a valued employee, and we believe that you are in a position to make a significant contribution. Because retention of key employees of the Company is an essential consideration for us during this period, we are providing you with the opportunity to earn the retention payment described in this letter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p>
    <w:p>
      <w:pPr>
        <w:spacing w:after="0" w:line="138" w:lineRule="exact"/>
        <w:rPr>
          <w:sz w:val="20"/>
          <w:szCs w:val="20"/>
          <w:color w:val="auto"/>
        </w:rPr>
      </w:pPr>
    </w:p>
    <w:p>
      <w:pPr>
        <w:jc w:val="both"/>
        <w:ind w:right="240" w:firstLine="751"/>
        <w:spacing w:after="0" w:line="246" w:lineRule="auto"/>
        <w:tabs>
          <w:tab w:leader="none" w:pos="115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Retention Payment</w:t>
      </w:r>
      <w:r>
        <w:rPr>
          <w:rFonts w:ascii="Times New Roman" w:cs="Times New Roman" w:eastAsia="Times New Roman" w:hAnsi="Times New Roman"/>
          <w:sz w:val="22"/>
          <w:szCs w:val="22"/>
          <w:color w:val="auto"/>
        </w:rPr>
        <w:t>. Subject to the terms of this Agreement, you shall be eligible for, and the Company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 to you, a cash retention payment equal to $2,500,000 (the “</w:t>
      </w:r>
      <w:r>
        <w:rPr>
          <w:rFonts w:ascii="Times New Roman" w:cs="Times New Roman" w:eastAsia="Times New Roman" w:hAnsi="Times New Roman"/>
          <w:sz w:val="22"/>
          <w:szCs w:val="22"/>
          <w:b w:val="1"/>
          <w:bCs w:val="1"/>
          <w:color w:val="auto"/>
        </w:rPr>
        <w:t>Retention Payment</w:t>
      </w:r>
      <w:r>
        <w:rPr>
          <w:rFonts w:ascii="Times New Roman" w:cs="Times New Roman" w:eastAsia="Times New Roman" w:hAnsi="Times New Roman"/>
          <w:sz w:val="22"/>
          <w:szCs w:val="22"/>
          <w:color w:val="auto"/>
        </w:rPr>
        <w:t>”), which shall vest as follows, subject to your continuous employment through each such date:</w:t>
      </w:r>
    </w:p>
    <w:p>
      <w:pPr>
        <w:spacing w:after="0" w:line="131" w:lineRule="exact"/>
        <w:rPr>
          <w:sz w:val="20"/>
          <w:szCs w:val="20"/>
          <w:color w:val="auto"/>
        </w:rPr>
      </w:pPr>
    </w:p>
    <w:p>
      <w:pPr>
        <w:ind w:left="1080" w:right="1180" w:hanging="329"/>
        <w:spacing w:after="0" w:line="244" w:lineRule="auto"/>
        <w:tabs>
          <w:tab w:leader="none" w:pos="10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Merger closes before the second anniversary of the date of the Merger Agreement, 50% upon the closing of the Merger and 50% upon the second anniversary of the date of the Merger Agreement; or</w:t>
      </w:r>
    </w:p>
    <w:p>
      <w:pPr>
        <w:spacing w:after="0" w:line="132" w:lineRule="exact"/>
        <w:rPr>
          <w:rFonts w:ascii="Times New Roman" w:cs="Times New Roman" w:eastAsia="Times New Roman" w:hAnsi="Times New Roman"/>
          <w:sz w:val="22"/>
          <w:szCs w:val="22"/>
          <w:color w:val="auto"/>
        </w:rPr>
      </w:pPr>
    </w:p>
    <w:p>
      <w:pPr>
        <w:ind w:left="1120" w:right="360" w:hanging="369"/>
        <w:spacing w:after="0" w:line="258" w:lineRule="auto"/>
        <w:tabs>
          <w:tab w:leader="none" w:pos="11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Merger does not close before the second anniversary of the date of the Merger Agreement, 100% upon the second anniversary of the date of the Merger Agreement.</w:t>
      </w:r>
    </w:p>
    <w:p>
      <w:pPr>
        <w:spacing w:after="0" w:line="127" w:lineRule="exact"/>
        <w:rPr>
          <w:sz w:val="20"/>
          <w:szCs w:val="20"/>
          <w:color w:val="auto"/>
        </w:rPr>
      </w:pPr>
    </w:p>
    <w:p>
      <w:pPr>
        <w:ind w:right="260" w:firstLine="747"/>
        <w:spacing w:after="0" w:line="235" w:lineRule="auto"/>
        <w:rPr>
          <w:sz w:val="20"/>
          <w:szCs w:val="20"/>
          <w:color w:val="auto"/>
        </w:rPr>
      </w:pPr>
      <w:r>
        <w:rPr>
          <w:rFonts w:ascii="Times New Roman" w:cs="Times New Roman" w:eastAsia="Times New Roman" w:hAnsi="Times New Roman"/>
          <w:sz w:val="22"/>
          <w:szCs w:val="22"/>
          <w:color w:val="auto"/>
        </w:rPr>
        <w:t>For purposes of this Agreement, the term “</w:t>
      </w:r>
      <w:r>
        <w:rPr>
          <w:rFonts w:ascii="Times New Roman" w:cs="Times New Roman" w:eastAsia="Times New Roman" w:hAnsi="Times New Roman"/>
          <w:sz w:val="22"/>
          <w:szCs w:val="22"/>
          <w:b w:val="1"/>
          <w:bCs w:val="1"/>
          <w:color w:val="auto"/>
        </w:rPr>
        <w:t>Vesting Date</w:t>
      </w:r>
      <w:r>
        <w:rPr>
          <w:rFonts w:ascii="Times New Roman" w:cs="Times New Roman" w:eastAsia="Times New Roman" w:hAnsi="Times New Roman"/>
          <w:sz w:val="22"/>
          <w:szCs w:val="22"/>
          <w:color w:val="auto"/>
        </w:rPr>
        <w:t>” means the date on which the applicable portion of the Retention Payment vests. Notwithstanding the foregoing, you shall be eligible for, and the Company shall pay, any unpaid portion of the Retention Payment to you if, before any Vesting Date, (i) following the closing of the Merger, the Company terminates your employment with the Company or its affiliates without Cause or you resign your employment for Good Reason, or (ii) your employment is terminated by reason of your death or permanent</w:t>
      </w:r>
    </w:p>
    <w:p>
      <w:pPr>
        <w:spacing w:after="0" w:line="4" w:lineRule="exact"/>
        <w:rPr>
          <w:sz w:val="20"/>
          <w:szCs w:val="20"/>
          <w:color w:val="auto"/>
        </w:rPr>
      </w:pPr>
    </w:p>
    <w:p>
      <w:pPr>
        <w:ind w:right="1080"/>
        <w:spacing w:after="0" w:line="237" w:lineRule="auto"/>
        <w:rPr>
          <w:sz w:val="20"/>
          <w:szCs w:val="20"/>
          <w:color w:val="auto"/>
        </w:rPr>
      </w:pPr>
      <w:r>
        <w:rPr>
          <w:rFonts w:ascii="Times New Roman" w:cs="Times New Roman" w:eastAsia="Times New Roman" w:hAnsi="Times New Roman"/>
          <w:sz w:val="22"/>
          <w:szCs w:val="22"/>
          <w:color w:val="auto"/>
        </w:rPr>
        <w:t>disability (as determined under the Company’s Long Term Disability Plan) (any such termination, a “</w:t>
      </w:r>
      <w:r>
        <w:rPr>
          <w:rFonts w:ascii="Times New Roman" w:cs="Times New Roman" w:eastAsia="Times New Roman" w:hAnsi="Times New Roman"/>
          <w:sz w:val="22"/>
          <w:szCs w:val="22"/>
          <w:b w:val="1"/>
          <w:bCs w:val="1"/>
          <w:color w:val="auto"/>
        </w:rPr>
        <w:t>Qualifying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Termination</w:t>
      </w:r>
      <w:r>
        <w:rPr>
          <w:rFonts w:ascii="Times New Roman" w:cs="Times New Roman" w:eastAsia="Times New Roman" w:hAnsi="Times New Roman"/>
          <w:sz w:val="22"/>
          <w:szCs w:val="22"/>
          <w:color w:val="auto"/>
        </w:rPr>
        <w:t>”).</w:t>
      </w:r>
    </w:p>
    <w:p>
      <w:pPr>
        <w:spacing w:after="0" w:line="138" w:lineRule="exact"/>
        <w:rPr>
          <w:sz w:val="20"/>
          <w:szCs w:val="20"/>
          <w:color w:val="auto"/>
        </w:rPr>
      </w:pPr>
    </w:p>
    <w:p>
      <w:pPr>
        <w:ind w:right="240" w:firstLine="747"/>
        <w:spacing w:after="0" w:line="244" w:lineRule="auto"/>
        <w:rPr>
          <w:sz w:val="20"/>
          <w:szCs w:val="20"/>
          <w:color w:val="auto"/>
        </w:rPr>
      </w:pPr>
      <w:r>
        <w:rPr>
          <w:rFonts w:ascii="Times New Roman" w:cs="Times New Roman" w:eastAsia="Times New Roman" w:hAnsi="Times New Roman"/>
          <w:sz w:val="22"/>
          <w:szCs w:val="22"/>
          <w:color w:val="auto"/>
        </w:rPr>
        <w:t>You shall not be eligible for, and shall not be paid, any unvested portion of the Retention Payment if your employment with the Company is terminated for any reason other than a Qualifying Termination on or prior to the Vesting Date, including, without limitation, a termination due to resignation or termination for Cause.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0"/>
          <w:szCs w:val="20"/>
          <w:color w:val="808080"/>
        </w:rPr>
        <w:t>8350 B</w:t>
      </w:r>
      <w:r>
        <w:rPr>
          <w:rFonts w:ascii="Arial" w:cs="Arial" w:eastAsia="Arial" w:hAnsi="Arial"/>
          <w:sz w:val="16"/>
          <w:szCs w:val="16"/>
          <w:color w:val="808080"/>
        </w:rPr>
        <w:t>ROAD</w:t>
      </w:r>
      <w:r>
        <w:rPr>
          <w:rFonts w:ascii="Arial" w:cs="Arial" w:eastAsia="Arial" w:hAnsi="Arial"/>
          <w:sz w:val="20"/>
          <w:szCs w:val="20"/>
          <w:color w:val="808080"/>
        </w:rPr>
        <w:t xml:space="preserve"> S</w:t>
      </w:r>
      <w:r>
        <w:rPr>
          <w:rFonts w:ascii="Arial" w:cs="Arial" w:eastAsia="Arial" w:hAnsi="Arial"/>
          <w:sz w:val="16"/>
          <w:szCs w:val="16"/>
          <w:color w:val="808080"/>
        </w:rPr>
        <w:t>T</w:t>
      </w:r>
      <w:r>
        <w:rPr>
          <w:rFonts w:ascii="Arial" w:cs="Arial" w:eastAsia="Arial" w:hAnsi="Arial"/>
          <w:sz w:val="20"/>
          <w:szCs w:val="20"/>
          <w:color w:val="808080"/>
        </w:rPr>
        <w:t>. ∙ S</w:t>
      </w:r>
      <w:r>
        <w:rPr>
          <w:rFonts w:ascii="Arial" w:cs="Arial" w:eastAsia="Arial" w:hAnsi="Arial"/>
          <w:sz w:val="16"/>
          <w:szCs w:val="16"/>
          <w:color w:val="808080"/>
        </w:rPr>
        <w:t>UITE</w:t>
      </w:r>
      <w:r>
        <w:rPr>
          <w:rFonts w:ascii="Arial" w:cs="Arial" w:eastAsia="Arial" w:hAnsi="Arial"/>
          <w:sz w:val="20"/>
          <w:szCs w:val="20"/>
          <w:color w:val="808080"/>
        </w:rPr>
        <w:t xml:space="preserve"> 2000 ∙ T</w:t>
      </w:r>
      <w:r>
        <w:rPr>
          <w:rFonts w:ascii="Arial" w:cs="Arial" w:eastAsia="Arial" w:hAnsi="Arial"/>
          <w:sz w:val="16"/>
          <w:szCs w:val="16"/>
          <w:color w:val="808080"/>
        </w:rPr>
        <w:t>YSONS</w:t>
      </w:r>
      <w:r>
        <w:rPr>
          <w:rFonts w:ascii="Arial" w:cs="Arial" w:eastAsia="Arial" w:hAnsi="Arial"/>
          <w:sz w:val="20"/>
          <w:szCs w:val="20"/>
          <w:color w:val="808080"/>
        </w:rPr>
        <w:t>, VA 22102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215265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49" w:right="339" w:bottom="1440" w:gutter="0" w:footer="0" w:header="0"/>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20" w:firstLine="747"/>
        <w:spacing w:after="0" w:line="262" w:lineRule="auto"/>
        <w:rPr>
          <w:sz w:val="20"/>
          <w:szCs w:val="20"/>
          <w:color w:val="auto"/>
        </w:rPr>
      </w:pPr>
      <w:r>
        <w:rPr>
          <w:rFonts w:ascii="Times New Roman" w:cs="Times New Roman" w:eastAsia="Times New Roman" w:hAnsi="Times New Roman"/>
          <w:sz w:val="22"/>
          <w:szCs w:val="22"/>
          <w:color w:val="auto"/>
        </w:rPr>
        <w:t>For purposes of this Agreement the terms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shall have the meanings set forth in the TEGNA Inc. 2015 Change in Control Severance Plan (based on the plan document in effect as of the date hereof).</w:t>
      </w:r>
    </w:p>
    <w:p>
      <w:pPr>
        <w:spacing w:after="0" w:line="109" w:lineRule="exact"/>
        <w:rPr>
          <w:sz w:val="20"/>
          <w:szCs w:val="20"/>
          <w:color w:val="auto"/>
        </w:rPr>
      </w:pPr>
    </w:p>
    <w:p>
      <w:pPr>
        <w:ind w:right="20" w:firstLine="751"/>
        <w:spacing w:after="0" w:line="235" w:lineRule="auto"/>
        <w:tabs>
          <w:tab w:leader="none" w:pos="1153"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Release; Time of Payment</w:t>
      </w:r>
      <w:r>
        <w:rPr>
          <w:rFonts w:ascii="Times New Roman" w:cs="Times New Roman" w:eastAsia="Times New Roman" w:hAnsi="Times New Roman"/>
          <w:sz w:val="22"/>
          <w:szCs w:val="22"/>
          <w:color w:val="auto"/>
        </w:rPr>
        <w:t>. The Company may require that, as a condition to your receipt of any portion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Retention Payment upon a Qualifying Termination (other than termination due to death), you execute a customary release of claims in favor of the Company and its affiliates in a form provided by the Company (which shall not contain new restrictive covenants) (the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xml:space="preserve">”). The Company shall pay any vested portion of the Retention Payment to you in one lump sum cash payment (net of applicable withholdings and deductions) on the first regularly scheduled payroll date after the Vesting Date or, if earlier, the first regularly scheduled payroll date after the date of your Qualifying Termination;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the Company requires that you sign a Release as a condition to receive such payment upon a Qualifying Termination (other than termination due to death), such payment will not be made prior to the date on which the Release becomes effective and nonrevocable in accordance with its terms.</w:t>
      </w:r>
    </w:p>
    <w:p>
      <w:pPr>
        <w:spacing w:after="0" w:line="146" w:lineRule="exact"/>
        <w:rPr>
          <w:rFonts w:ascii="Times New Roman" w:cs="Times New Roman" w:eastAsia="Times New Roman" w:hAnsi="Times New Roman"/>
          <w:sz w:val="22"/>
          <w:szCs w:val="22"/>
          <w:color w:val="auto"/>
        </w:rPr>
      </w:pPr>
    </w:p>
    <w:p>
      <w:pPr>
        <w:jc w:val="both"/>
        <w:ind w:right="400" w:firstLine="751"/>
        <w:spacing w:after="0" w:line="241" w:lineRule="auto"/>
        <w:tabs>
          <w:tab w:leader="none" w:pos="114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Retention Payment</w:t>
      </w:r>
      <w:r>
        <w:rPr>
          <w:rFonts w:ascii="Times New Roman" w:cs="Times New Roman" w:eastAsia="Times New Roman" w:hAnsi="Times New Roman"/>
          <w:sz w:val="22"/>
          <w:szCs w:val="22"/>
          <w:color w:val="auto"/>
        </w:rPr>
        <w:t>. For purposes of this Agreement and any severance, change in control plan, or similar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or policy, the Retention Payment shall be treated as a retention payment and not a severance payment. Accordingly, the Retention Payment shall not offset any other severance or similar obligation of the Company under any other plan or policy.</w:t>
      </w:r>
    </w:p>
    <w:p>
      <w:pPr>
        <w:spacing w:after="0" w:line="131" w:lineRule="exact"/>
        <w:rPr>
          <w:rFonts w:ascii="Times New Roman" w:cs="Times New Roman" w:eastAsia="Times New Roman" w:hAnsi="Times New Roman"/>
          <w:sz w:val="22"/>
          <w:szCs w:val="22"/>
          <w:color w:val="auto"/>
        </w:rPr>
      </w:pPr>
    </w:p>
    <w:p>
      <w:pPr>
        <w:ind w:right="260" w:firstLine="751"/>
        <w:spacing w:after="0" w:line="238" w:lineRule="auto"/>
        <w:tabs>
          <w:tab w:leader="none" w:pos="114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At-will Employment</w:t>
      </w:r>
      <w:r>
        <w:rPr>
          <w:rFonts w:ascii="Times New Roman" w:cs="Times New Roman" w:eastAsia="Times New Roman" w:hAnsi="Times New Roman"/>
          <w:sz w:val="22"/>
          <w:szCs w:val="22"/>
          <w:color w:val="auto"/>
        </w:rPr>
        <w:t>. Nothing in this Agreement shall change your status as an at-will employee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meaning that either the Company or you may terminate the employment relationship at any time and for any reason. In addition, for purposes of clarity and the avoidance of doubt, nothing in this Agreement shall change, modify or alter in any way your participation or rights in any Company plan, program, or arrangement in which you are participating or under which you have rights.</w:t>
      </w:r>
    </w:p>
    <w:p>
      <w:pPr>
        <w:spacing w:after="0" w:line="136" w:lineRule="exact"/>
        <w:rPr>
          <w:rFonts w:ascii="Times New Roman" w:cs="Times New Roman" w:eastAsia="Times New Roman" w:hAnsi="Times New Roman"/>
          <w:sz w:val="22"/>
          <w:szCs w:val="22"/>
          <w:color w:val="auto"/>
        </w:rPr>
      </w:pPr>
    </w:p>
    <w:p>
      <w:pPr>
        <w:ind w:right="40" w:firstLine="751"/>
        <w:spacing w:after="0" w:line="237" w:lineRule="auto"/>
        <w:tabs>
          <w:tab w:leader="none" w:pos="115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color w:val="auto"/>
        </w:rPr>
        <w:t>. It is intended that payments made under this Agreement be exempt from, or compliant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requirements of, Section 409A of the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and this Agreement shall be interpreted and administered in accordance with that intent. If any provision of this Agreement would otherwise conflict with or frustrate this intent, that provision will be interpreted and deemed amended so as to avoid the</w:t>
      </w:r>
    </w:p>
    <w:p>
      <w:pPr>
        <w:ind w:right="40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conflict. Any payments that qualify for the “short-term deferral” exception under Section 409A of the Code shall be paid under that applicable exception. Any references to termination of employment, date of termination or similar term shall mean and refer to the date of your</w:t>
      </w:r>
    </w:p>
    <w:p>
      <w:pPr>
        <w:spacing w:after="0" w:line="1" w:lineRule="exact"/>
        <w:rPr>
          <w:rFonts w:ascii="Times New Roman" w:cs="Times New Roman" w:eastAsia="Times New Roman" w:hAnsi="Times New Roman"/>
          <w:sz w:val="22"/>
          <w:szCs w:val="22"/>
          <w:color w:val="auto"/>
        </w:rPr>
      </w:pPr>
    </w:p>
    <w:p>
      <w:pPr>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“separation from service,” as that term is defined in Section 409A of the Code and Treasury Regulation Section 1.409A-1(h). Notwithstanding any other provision of this Agreement to the contrary, if you are considered a “specified employee” for purposes of Section 409A of the Code (as determined in accordance with the methodology established by the Company as in effect on the termination date), any payment under this Agreement that constitutes non-exempt,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211455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1440" w:right="359" w:bottom="1440" w:gutter="0" w:footer="0" w:header="0"/>
        </w:sectPr>
      </w:pPr>
    </w:p>
    <w:bookmarkStart w:id="43" w:name="page44"/>
    <w:bookmarkEnd w:id="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nonqualified deferred compensation within the meaning of Section 409A of the Code that is otherwise due to you under this Agreement during the six (6)-month period immediately following your separation from service (as determined in accordance with Section 409A of the Code) on account of your separation from service shall be accumulated and paid to you on the first (1st) business day of the seventh (7th) month following your separation from service (the “</w:t>
      </w:r>
      <w:r>
        <w:rPr>
          <w:rFonts w:ascii="Times New Roman" w:cs="Times New Roman" w:eastAsia="Times New Roman" w:hAnsi="Times New Roman"/>
          <w:sz w:val="22"/>
          <w:szCs w:val="22"/>
          <w:b w:val="1"/>
          <w:bCs w:val="1"/>
          <w:color w:val="auto"/>
        </w:rPr>
        <w:t>Delayed Payment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If you die during the postponement period, the amounts and entitlements delayed on account of Section 409A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Code shall be paid to the personal representative of your estate on the earlier of the Delayed Payment Date and thirty (30) calendar days after the date of your death.</w:t>
      </w:r>
    </w:p>
    <w:p>
      <w:pPr>
        <w:spacing w:after="0" w:line="139" w:lineRule="exact"/>
        <w:rPr>
          <w:sz w:val="20"/>
          <w:szCs w:val="20"/>
          <w:color w:val="auto"/>
        </w:rPr>
      </w:pPr>
    </w:p>
    <w:p>
      <w:pPr>
        <w:ind w:firstLine="751"/>
        <w:spacing w:after="0" w:line="245" w:lineRule="auto"/>
        <w:tabs>
          <w:tab w:leader="none" w:pos="1153"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Miscellaneous</w:t>
      </w:r>
      <w:r>
        <w:rPr>
          <w:rFonts w:ascii="Times New Roman" w:cs="Times New Roman" w:eastAsia="Times New Roman" w:hAnsi="Times New Roman"/>
          <w:sz w:val="21"/>
          <w:szCs w:val="21"/>
          <w:color w:val="auto"/>
        </w:rPr>
        <w:t>. This Agreement contains all of the understandings and representations between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you relating to any retention payment and supersedes all prior and contemporaneous understandings, discussions, agreements, representations and warranties, both written and oral, with respect to any retention payment. For the avoidance of doubt, this Agreement shall not supersede any other agreements between the Company and you, which shall remain in full force and effect. This Agreement shall be governed by the laws of the Commonwealth of Virginia without giving effect to the conflict of laws provisions thereof to the extent such rules would require or permit application of the laws of any other jurisdiction. This Agreement is personal to you and shall not be assignable by you other than by will or the laws of descent and distribution. This Agreement shall inure to the benefit of and be enforceable by your legal representatives. This Agreement shall inure to the benefit of and be binding upon the Company and its successors and assigns. As used in this Agreement, “Company” shall mean the Company as hereinbefore defined and its successors. No provision of this Agreement shall be modified or amended except by an instrument in writing duly executed by the parties hereto.</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223520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700" w:top="1440" w:right="379" w:bottom="1440" w:gutter="0" w:footer="0" w:header="0"/>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80" w:right="300" w:firstLine="758"/>
        <w:spacing w:after="0" w:line="258" w:lineRule="auto"/>
        <w:rPr>
          <w:sz w:val="20"/>
          <w:szCs w:val="20"/>
          <w:color w:val="auto"/>
        </w:rPr>
      </w:pPr>
      <w:r>
        <w:rPr>
          <w:rFonts w:ascii="Times New Roman" w:cs="Times New Roman" w:eastAsia="Times New Roman" w:hAnsi="Times New Roman"/>
          <w:sz w:val="22"/>
          <w:szCs w:val="22"/>
          <w:color w:val="auto"/>
        </w:rPr>
        <w:t>We look forward to a very promising future together with Nexstar. In order to be eligible to receive the Retention Payment, it is important that you sign this Agreement and return it to Alex Tolston as soon as practicable.</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500" w:type="dxa"/>
            <w:vAlign w:val="bottom"/>
          </w:tcPr>
          <w:p>
            <w:pPr>
              <w:spacing w:after="0"/>
              <w:rPr>
                <w:sz w:val="24"/>
                <w:szCs w:val="24"/>
                <w:color w:val="auto"/>
              </w:rPr>
            </w:pPr>
          </w:p>
        </w:tc>
        <w:tc>
          <w:tcPr>
            <w:tcW w:w="1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Sincerely,</w:t>
            </w:r>
          </w:p>
        </w:tc>
        <w:tc>
          <w:tcPr>
            <w:tcW w:w="5040" w:type="dxa"/>
            <w:vAlign w:val="bottom"/>
          </w:tcPr>
          <w:p>
            <w:pPr>
              <w:spacing w:after="0"/>
              <w:rPr>
                <w:sz w:val="24"/>
                <w:szCs w:val="24"/>
                <w:color w:val="auto"/>
              </w:rPr>
            </w:pPr>
          </w:p>
        </w:tc>
      </w:tr>
      <w:tr>
        <w:trPr>
          <w:trHeight w:val="717"/>
        </w:trPr>
        <w:tc>
          <w:tcPr>
            <w:tcW w:w="4500" w:type="dxa"/>
            <w:vAlign w:val="bottom"/>
          </w:tcPr>
          <w:p>
            <w:pPr>
              <w:spacing w:after="0"/>
              <w:rPr>
                <w:sz w:val="24"/>
                <w:szCs w:val="24"/>
                <w:color w:val="auto"/>
              </w:rPr>
            </w:pPr>
          </w:p>
        </w:tc>
        <w:tc>
          <w:tcPr>
            <w:tcW w:w="17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Alex Tolston</w:t>
            </w:r>
          </w:p>
        </w:tc>
      </w:tr>
      <w:tr>
        <w:trPr>
          <w:trHeight w:val="209"/>
        </w:trPr>
        <w:tc>
          <w:tcPr>
            <w:tcW w:w="4500" w:type="dxa"/>
            <w:vAlign w:val="bottom"/>
          </w:tcPr>
          <w:p>
            <w:pPr>
              <w:spacing w:after="0"/>
              <w:rPr>
                <w:sz w:val="18"/>
                <w:szCs w:val="18"/>
                <w:color w:val="auto"/>
              </w:rPr>
            </w:pPr>
          </w:p>
        </w:tc>
        <w:tc>
          <w:tcPr>
            <w:tcW w:w="1700" w:type="dxa"/>
            <w:vAlign w:val="bottom"/>
          </w:tcPr>
          <w:p>
            <w:pPr>
              <w:ind w:left="800"/>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04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Alex Tolston</w:t>
            </w:r>
          </w:p>
        </w:tc>
      </w:tr>
      <w:tr>
        <w:trPr>
          <w:trHeight w:val="243"/>
        </w:trPr>
        <w:tc>
          <w:tcPr>
            <w:tcW w:w="4500" w:type="dxa"/>
            <w:vAlign w:val="bottom"/>
          </w:tcPr>
          <w:p>
            <w:pPr>
              <w:spacing w:after="0"/>
              <w:rPr>
                <w:sz w:val="21"/>
                <w:szCs w:val="21"/>
                <w:color w:val="auto"/>
              </w:rPr>
            </w:pPr>
          </w:p>
        </w:tc>
        <w:tc>
          <w:tcPr>
            <w:tcW w:w="17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Title:</w:t>
            </w:r>
          </w:p>
        </w:tc>
        <w:tc>
          <w:tcPr>
            <w:tcW w:w="5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Senior Vice President and</w:t>
            </w:r>
          </w:p>
        </w:tc>
      </w:tr>
      <w:tr>
        <w:trPr>
          <w:trHeight w:val="282"/>
        </w:trPr>
        <w:tc>
          <w:tcPr>
            <w:tcW w:w="4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2"/>
                <w:szCs w:val="22"/>
                <w:color w:val="auto"/>
              </w:rPr>
              <w:t>Chief Legal Officer</w:t>
            </w:r>
          </w:p>
        </w:tc>
      </w:tr>
      <w:tr>
        <w:trPr>
          <w:trHeight w:val="850"/>
        </w:trPr>
        <w:tc>
          <w:tcPr>
            <w:tcW w:w="62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Accepted and Acknowledged as of the day first written above:</w:t>
            </w:r>
          </w:p>
        </w:tc>
        <w:tc>
          <w:tcPr>
            <w:tcW w:w="5040" w:type="dxa"/>
            <w:vAlign w:val="bottom"/>
          </w:tcPr>
          <w:p>
            <w:pPr>
              <w:spacing w:after="0"/>
              <w:rPr>
                <w:sz w:val="24"/>
                <w:szCs w:val="24"/>
                <w:color w:val="auto"/>
              </w:rPr>
            </w:pPr>
          </w:p>
        </w:tc>
      </w:tr>
      <w:tr>
        <w:trPr>
          <w:trHeight w:val="893"/>
        </w:trPr>
        <w:tc>
          <w:tcPr>
            <w:tcW w:w="62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Thomas Cox</w:t>
            </w:r>
          </w:p>
        </w:tc>
        <w:tc>
          <w:tcPr>
            <w:tcW w:w="5040" w:type="dxa"/>
            <w:vAlign w:val="bottom"/>
          </w:tcPr>
          <w:p>
            <w:pPr>
              <w:spacing w:after="0"/>
              <w:rPr>
                <w:sz w:val="24"/>
                <w:szCs w:val="24"/>
                <w:color w:val="auto"/>
              </w:rPr>
            </w:pPr>
          </w:p>
        </w:tc>
      </w:tr>
      <w:tr>
        <w:trPr>
          <w:trHeight w:val="276"/>
        </w:trPr>
        <w:tc>
          <w:tcPr>
            <w:tcW w:w="4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Name: Thomas Cox</w:t>
            </w:r>
          </w:p>
        </w:tc>
        <w:tc>
          <w:tcPr>
            <w:tcW w:w="1700" w:type="dxa"/>
            <w:vAlign w:val="bottom"/>
          </w:tcPr>
          <w:p>
            <w:pPr>
              <w:spacing w:after="0"/>
              <w:rPr>
                <w:sz w:val="23"/>
                <w:szCs w:val="23"/>
                <w:color w:val="auto"/>
              </w:rPr>
            </w:pPr>
          </w:p>
        </w:tc>
        <w:tc>
          <w:tcPr>
            <w:tcW w:w="5040" w:type="dxa"/>
            <w:vAlign w:val="bottom"/>
          </w:tcPr>
          <w:p>
            <w:pPr>
              <w:spacing w:after="0"/>
              <w:rPr>
                <w:sz w:val="23"/>
                <w:szCs w:val="23"/>
                <w:color w:val="auto"/>
              </w:rPr>
            </w:pPr>
          </w:p>
        </w:tc>
      </w:tr>
      <w:tr>
        <w:trPr>
          <w:trHeight w:val="845"/>
        </w:trPr>
        <w:tc>
          <w:tcPr>
            <w:tcW w:w="45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4"/>
          <w:szCs w:val="14"/>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2360930</wp:posOffset>
            </wp:positionH>
            <wp:positionV relativeFrom="paragraph">
              <wp:posOffset>186690</wp:posOffset>
            </wp:positionV>
            <wp:extent cx="1259840" cy="3003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125984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 Retention Award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18, 2025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Alex Tolston:</w:t>
      </w:r>
    </w:p>
    <w:p>
      <w:pPr>
        <w:spacing w:after="0" w:line="14" w:lineRule="exact"/>
        <w:rPr>
          <w:sz w:val="20"/>
          <w:szCs w:val="20"/>
          <w:color w:val="auto"/>
        </w:rPr>
      </w:pPr>
    </w:p>
    <w:p>
      <w:pPr>
        <w:ind w:right="80" w:firstLine="747"/>
        <w:spacing w:after="0" w:line="230" w:lineRule="auto"/>
        <w:rPr>
          <w:sz w:val="20"/>
          <w:szCs w:val="20"/>
          <w:color w:val="auto"/>
        </w:rPr>
      </w:pPr>
      <w:r>
        <w:rPr>
          <w:rFonts w:ascii="Times New Roman" w:cs="Times New Roman" w:eastAsia="Times New Roman" w:hAnsi="Times New Roman"/>
          <w:sz w:val="22"/>
          <w:szCs w:val="22"/>
          <w:color w:val="auto"/>
        </w:rPr>
        <w:t xml:space="preserve">As you know, TEGNA Inc. (the “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Nexstar Media Group, Inc. (“</w:t>
      </w:r>
      <w:r>
        <w:rPr>
          <w:rFonts w:ascii="Times New Roman" w:cs="Times New Roman" w:eastAsia="Times New Roman" w:hAnsi="Times New Roman"/>
          <w:sz w:val="22"/>
          <w:szCs w:val="22"/>
          <w:b w:val="1"/>
          <w:bCs w:val="1"/>
          <w:color w:val="auto"/>
        </w:rPr>
        <w:t>Nexstar</w:t>
      </w:r>
      <w:r>
        <w:rPr>
          <w:rFonts w:ascii="Times New Roman" w:cs="Times New Roman" w:eastAsia="Times New Roman" w:hAnsi="Times New Roman"/>
          <w:sz w:val="22"/>
          <w:szCs w:val="22"/>
          <w:color w:val="auto"/>
        </w:rPr>
        <w:t>”) and Teton Merger Sub, Inc. have entered into a merger agreement (the “</w:t>
      </w:r>
      <w:r>
        <w:rPr>
          <w:rFonts w:ascii="Times New Roman" w:cs="Times New Roman" w:eastAsia="Times New Roman" w:hAnsi="Times New Roman"/>
          <w:sz w:val="22"/>
          <w:szCs w:val="22"/>
          <w:b w:val="1"/>
          <w:bCs w:val="1"/>
          <w:color w:val="auto"/>
        </w:rPr>
        <w:t>Merger Agreement</w:t>
      </w:r>
      <w:r>
        <w:rPr>
          <w:rFonts w:ascii="Times New Roman" w:cs="Times New Roman" w:eastAsia="Times New Roman" w:hAnsi="Times New Roman"/>
          <w:sz w:val="22"/>
          <w:szCs w:val="22"/>
          <w:color w:val="auto"/>
        </w:rPr>
        <w:t>”) contemplating the acquisition of the Company by Nexstar pursuant to a merger (the “</w:t>
      </w:r>
      <w:r>
        <w:rPr>
          <w:rFonts w:ascii="Times New Roman" w:cs="Times New Roman" w:eastAsia="Times New Roman" w:hAnsi="Times New Roman"/>
          <w:sz w:val="22"/>
          <w:szCs w:val="22"/>
          <w:b w:val="1"/>
          <w:bCs w:val="1"/>
          <w:color w:val="auto"/>
        </w:rPr>
        <w:t>Merger</w:t>
      </w:r>
      <w:r>
        <w:rPr>
          <w:rFonts w:ascii="Times New Roman" w:cs="Times New Roman" w:eastAsia="Times New Roman" w:hAnsi="Times New Roman"/>
          <w:sz w:val="22"/>
          <w:szCs w:val="22"/>
          <w:color w:val="auto"/>
        </w:rPr>
        <w:t>”). We believe that the Merger is in the best interests of both our employees and stockholders.</w:t>
      </w:r>
    </w:p>
    <w:p>
      <w:pPr>
        <w:spacing w:after="0" w:line="2"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22"/>
          <w:szCs w:val="22"/>
          <w:color w:val="auto"/>
        </w:rPr>
        <w:t>However, we understand that the Merger may create uncertainty for our employees during the months that it is pending completion. Both the Company and Nexstar recognize that our most valuable asset is our employees and that those employees are essential to our past and continued success. More specifically, you are a valued employee, and we believe that you are in a position to make a significant contribution. Because retention of key employees of the Company is an essential consideration for us during this period, we are providing you with the opportunity to earn the retention payment described in this letter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p>
    <w:p>
      <w:pPr>
        <w:spacing w:after="0" w:line="138" w:lineRule="exact"/>
        <w:rPr>
          <w:sz w:val="20"/>
          <w:szCs w:val="20"/>
          <w:color w:val="auto"/>
        </w:rPr>
      </w:pPr>
    </w:p>
    <w:p>
      <w:pPr>
        <w:jc w:val="both"/>
        <w:ind w:right="240" w:firstLine="751"/>
        <w:spacing w:after="0" w:line="246" w:lineRule="auto"/>
        <w:tabs>
          <w:tab w:leader="none" w:pos="115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Retention Payment</w:t>
      </w:r>
      <w:r>
        <w:rPr>
          <w:rFonts w:ascii="Times New Roman" w:cs="Times New Roman" w:eastAsia="Times New Roman" w:hAnsi="Times New Roman"/>
          <w:sz w:val="22"/>
          <w:szCs w:val="22"/>
          <w:color w:val="auto"/>
        </w:rPr>
        <w:t>. Subject to the terms of this Agreement, you shall be eligible for, and the Company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 to you, a cash retention payment equal to $2,500,000 (the “</w:t>
      </w:r>
      <w:r>
        <w:rPr>
          <w:rFonts w:ascii="Times New Roman" w:cs="Times New Roman" w:eastAsia="Times New Roman" w:hAnsi="Times New Roman"/>
          <w:sz w:val="22"/>
          <w:szCs w:val="22"/>
          <w:b w:val="1"/>
          <w:bCs w:val="1"/>
          <w:color w:val="auto"/>
        </w:rPr>
        <w:t>Retention Payment</w:t>
      </w:r>
      <w:r>
        <w:rPr>
          <w:rFonts w:ascii="Times New Roman" w:cs="Times New Roman" w:eastAsia="Times New Roman" w:hAnsi="Times New Roman"/>
          <w:sz w:val="22"/>
          <w:szCs w:val="22"/>
          <w:color w:val="auto"/>
        </w:rPr>
        <w:t>”), which shall vest as follows, subject to your continuous employment through each such date:</w:t>
      </w:r>
    </w:p>
    <w:p>
      <w:pPr>
        <w:spacing w:after="0" w:line="131" w:lineRule="exact"/>
        <w:rPr>
          <w:sz w:val="20"/>
          <w:szCs w:val="20"/>
          <w:color w:val="auto"/>
        </w:rPr>
      </w:pPr>
    </w:p>
    <w:p>
      <w:pPr>
        <w:ind w:left="1080" w:right="1180" w:hanging="329"/>
        <w:spacing w:after="0" w:line="244" w:lineRule="auto"/>
        <w:tabs>
          <w:tab w:leader="none" w:pos="10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Merger closes before the second anniversary of the date of the Merger Agreement, 50% upon the closing of the Merger and 50% upon the second anniversary of the date of the Merger Agreement; or</w:t>
      </w:r>
    </w:p>
    <w:p>
      <w:pPr>
        <w:spacing w:after="0" w:line="132" w:lineRule="exact"/>
        <w:rPr>
          <w:rFonts w:ascii="Times New Roman" w:cs="Times New Roman" w:eastAsia="Times New Roman" w:hAnsi="Times New Roman"/>
          <w:sz w:val="22"/>
          <w:szCs w:val="22"/>
          <w:color w:val="auto"/>
        </w:rPr>
      </w:pPr>
    </w:p>
    <w:p>
      <w:pPr>
        <w:ind w:left="1120" w:right="360" w:hanging="369"/>
        <w:spacing w:after="0" w:line="258" w:lineRule="auto"/>
        <w:tabs>
          <w:tab w:leader="none" w:pos="11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Merger does not close before the second anniversary of the date of the Merger Agreement, 100% upon the second anniversary of the date of the Merger Agreement.</w:t>
      </w:r>
    </w:p>
    <w:p>
      <w:pPr>
        <w:spacing w:after="0" w:line="127" w:lineRule="exact"/>
        <w:rPr>
          <w:sz w:val="20"/>
          <w:szCs w:val="20"/>
          <w:color w:val="auto"/>
        </w:rPr>
      </w:pPr>
    </w:p>
    <w:p>
      <w:pPr>
        <w:ind w:right="260" w:firstLine="747"/>
        <w:spacing w:after="0" w:line="235" w:lineRule="auto"/>
        <w:rPr>
          <w:sz w:val="20"/>
          <w:szCs w:val="20"/>
          <w:color w:val="auto"/>
        </w:rPr>
      </w:pPr>
      <w:r>
        <w:rPr>
          <w:rFonts w:ascii="Times New Roman" w:cs="Times New Roman" w:eastAsia="Times New Roman" w:hAnsi="Times New Roman"/>
          <w:sz w:val="22"/>
          <w:szCs w:val="22"/>
          <w:color w:val="auto"/>
        </w:rPr>
        <w:t>For purposes of this Agreement, the term “</w:t>
      </w:r>
      <w:r>
        <w:rPr>
          <w:rFonts w:ascii="Times New Roman" w:cs="Times New Roman" w:eastAsia="Times New Roman" w:hAnsi="Times New Roman"/>
          <w:sz w:val="22"/>
          <w:szCs w:val="22"/>
          <w:b w:val="1"/>
          <w:bCs w:val="1"/>
          <w:color w:val="auto"/>
        </w:rPr>
        <w:t>Vesting Date</w:t>
      </w:r>
      <w:r>
        <w:rPr>
          <w:rFonts w:ascii="Times New Roman" w:cs="Times New Roman" w:eastAsia="Times New Roman" w:hAnsi="Times New Roman"/>
          <w:sz w:val="22"/>
          <w:szCs w:val="22"/>
          <w:color w:val="auto"/>
        </w:rPr>
        <w:t>” means the date on which the applicable portion of the Retention Payment vests. Notwithstanding the foregoing, you shall be eligible for, and the Company shall pay, any unpaid portion of the Retention Payment to you if, before any Vesting Date, (i) following the closing of the Merger, the Company terminates your employment with the Company or its affiliates without Cause or you resign your employment for Good Reason, or (ii) your employment is terminated by reason of your death or permanent</w:t>
      </w:r>
    </w:p>
    <w:p>
      <w:pPr>
        <w:spacing w:after="0" w:line="4" w:lineRule="exact"/>
        <w:rPr>
          <w:sz w:val="20"/>
          <w:szCs w:val="20"/>
          <w:color w:val="auto"/>
        </w:rPr>
      </w:pPr>
    </w:p>
    <w:p>
      <w:pPr>
        <w:ind w:right="1080"/>
        <w:spacing w:after="0" w:line="237" w:lineRule="auto"/>
        <w:rPr>
          <w:sz w:val="20"/>
          <w:szCs w:val="20"/>
          <w:color w:val="auto"/>
        </w:rPr>
      </w:pPr>
      <w:r>
        <w:rPr>
          <w:rFonts w:ascii="Times New Roman" w:cs="Times New Roman" w:eastAsia="Times New Roman" w:hAnsi="Times New Roman"/>
          <w:sz w:val="22"/>
          <w:szCs w:val="22"/>
          <w:color w:val="auto"/>
        </w:rPr>
        <w:t>disability (as determined under the Company’s Long Term Disability Plan) (any such termination, a “</w:t>
      </w:r>
      <w:r>
        <w:rPr>
          <w:rFonts w:ascii="Times New Roman" w:cs="Times New Roman" w:eastAsia="Times New Roman" w:hAnsi="Times New Roman"/>
          <w:sz w:val="22"/>
          <w:szCs w:val="22"/>
          <w:b w:val="1"/>
          <w:bCs w:val="1"/>
          <w:color w:val="auto"/>
        </w:rPr>
        <w:t>Qualifying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Termination</w:t>
      </w:r>
      <w:r>
        <w:rPr>
          <w:rFonts w:ascii="Times New Roman" w:cs="Times New Roman" w:eastAsia="Times New Roman" w:hAnsi="Times New Roman"/>
          <w:sz w:val="22"/>
          <w:szCs w:val="22"/>
          <w:color w:val="auto"/>
        </w:rPr>
        <w:t>”).</w:t>
      </w:r>
    </w:p>
    <w:p>
      <w:pPr>
        <w:spacing w:after="0" w:line="138" w:lineRule="exact"/>
        <w:rPr>
          <w:sz w:val="20"/>
          <w:szCs w:val="20"/>
          <w:color w:val="auto"/>
        </w:rPr>
      </w:pPr>
    </w:p>
    <w:p>
      <w:pPr>
        <w:ind w:right="240" w:firstLine="747"/>
        <w:spacing w:after="0" w:line="244" w:lineRule="auto"/>
        <w:rPr>
          <w:sz w:val="20"/>
          <w:szCs w:val="20"/>
          <w:color w:val="auto"/>
        </w:rPr>
      </w:pPr>
      <w:r>
        <w:rPr>
          <w:rFonts w:ascii="Times New Roman" w:cs="Times New Roman" w:eastAsia="Times New Roman" w:hAnsi="Times New Roman"/>
          <w:sz w:val="22"/>
          <w:szCs w:val="22"/>
          <w:color w:val="auto"/>
        </w:rPr>
        <w:t>You shall not be eligible for, and shall not be paid, any unvested portion of the Retention Payment if your employment with the Company is terminated for any reason other than a Qualifying Termination on or prior to the Vesting Date, including, without limitation, a termination due to resignation or termination for Cause.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0"/>
          <w:szCs w:val="20"/>
          <w:color w:val="808080"/>
        </w:rPr>
        <w:t>8350 B</w:t>
      </w:r>
      <w:r>
        <w:rPr>
          <w:rFonts w:ascii="Arial" w:cs="Arial" w:eastAsia="Arial" w:hAnsi="Arial"/>
          <w:sz w:val="16"/>
          <w:szCs w:val="16"/>
          <w:color w:val="808080"/>
        </w:rPr>
        <w:t>ROAD</w:t>
      </w:r>
      <w:r>
        <w:rPr>
          <w:rFonts w:ascii="Arial" w:cs="Arial" w:eastAsia="Arial" w:hAnsi="Arial"/>
          <w:sz w:val="20"/>
          <w:szCs w:val="20"/>
          <w:color w:val="808080"/>
        </w:rPr>
        <w:t xml:space="preserve"> S</w:t>
      </w:r>
      <w:r>
        <w:rPr>
          <w:rFonts w:ascii="Arial" w:cs="Arial" w:eastAsia="Arial" w:hAnsi="Arial"/>
          <w:sz w:val="16"/>
          <w:szCs w:val="16"/>
          <w:color w:val="808080"/>
        </w:rPr>
        <w:t>T</w:t>
      </w:r>
      <w:r>
        <w:rPr>
          <w:rFonts w:ascii="Arial" w:cs="Arial" w:eastAsia="Arial" w:hAnsi="Arial"/>
          <w:sz w:val="20"/>
          <w:szCs w:val="20"/>
          <w:color w:val="808080"/>
        </w:rPr>
        <w:t>. ∙ S</w:t>
      </w:r>
      <w:r>
        <w:rPr>
          <w:rFonts w:ascii="Arial" w:cs="Arial" w:eastAsia="Arial" w:hAnsi="Arial"/>
          <w:sz w:val="16"/>
          <w:szCs w:val="16"/>
          <w:color w:val="808080"/>
        </w:rPr>
        <w:t>UITE</w:t>
      </w:r>
      <w:r>
        <w:rPr>
          <w:rFonts w:ascii="Arial" w:cs="Arial" w:eastAsia="Arial" w:hAnsi="Arial"/>
          <w:sz w:val="20"/>
          <w:szCs w:val="20"/>
          <w:color w:val="808080"/>
        </w:rPr>
        <w:t xml:space="preserve"> 2000 ∙ T</w:t>
      </w:r>
      <w:r>
        <w:rPr>
          <w:rFonts w:ascii="Arial" w:cs="Arial" w:eastAsia="Arial" w:hAnsi="Arial"/>
          <w:sz w:val="16"/>
          <w:szCs w:val="16"/>
          <w:color w:val="808080"/>
        </w:rPr>
        <w:t>YSONS</w:t>
      </w:r>
      <w:r>
        <w:rPr>
          <w:rFonts w:ascii="Arial" w:cs="Arial" w:eastAsia="Arial" w:hAnsi="Arial"/>
          <w:sz w:val="20"/>
          <w:szCs w:val="20"/>
          <w:color w:val="808080"/>
        </w:rPr>
        <w:t>, VA 22102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215265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49" w:right="339" w:bottom="1440" w:gutter="0" w:footer="0" w:header="0"/>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20" w:firstLine="747"/>
        <w:spacing w:after="0" w:line="262" w:lineRule="auto"/>
        <w:rPr>
          <w:sz w:val="20"/>
          <w:szCs w:val="20"/>
          <w:color w:val="auto"/>
        </w:rPr>
      </w:pPr>
      <w:r>
        <w:rPr>
          <w:rFonts w:ascii="Times New Roman" w:cs="Times New Roman" w:eastAsia="Times New Roman" w:hAnsi="Times New Roman"/>
          <w:sz w:val="22"/>
          <w:szCs w:val="22"/>
          <w:color w:val="auto"/>
        </w:rPr>
        <w:t>For purposes of this Agreement the terms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shall have the meanings set forth in the TEGNA Inc. 2015 Change in Control Severance Plan (based on the plan document in effect as of the date hereof).</w:t>
      </w:r>
    </w:p>
    <w:p>
      <w:pPr>
        <w:spacing w:after="0" w:line="109" w:lineRule="exact"/>
        <w:rPr>
          <w:sz w:val="20"/>
          <w:szCs w:val="20"/>
          <w:color w:val="auto"/>
        </w:rPr>
      </w:pPr>
    </w:p>
    <w:p>
      <w:pPr>
        <w:ind w:right="20" w:firstLine="751"/>
        <w:spacing w:after="0" w:line="235" w:lineRule="auto"/>
        <w:tabs>
          <w:tab w:leader="none" w:pos="1153"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Release; Time of Payment</w:t>
      </w:r>
      <w:r>
        <w:rPr>
          <w:rFonts w:ascii="Times New Roman" w:cs="Times New Roman" w:eastAsia="Times New Roman" w:hAnsi="Times New Roman"/>
          <w:sz w:val="22"/>
          <w:szCs w:val="22"/>
          <w:color w:val="auto"/>
        </w:rPr>
        <w:t>. The Company may require that, as a condition to your receipt of any portion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Retention Payment upon a Qualifying Termination (other than termination due to death), you execute a customary release of claims in favor of the Company and its affiliates in a form provided by the Company (which shall not contain new restrictive covenants) (the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xml:space="preserve">”). The Company shall pay any vested portion of the Retention Payment to you in one lump sum cash payment (net of applicable withholdings and deductions) on the first regularly scheduled payroll date after the Vesting Date or, if earlier, the first regularly scheduled payroll date after the date of your Qualifying Termination;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the Company requires that you sign a Release as a condition to receive such payment upon a Qualifying Termination (other than termination due to death), such payment will not be made prior to the date on which the Release becomes effective and nonrevocable in accordance with its terms.</w:t>
      </w:r>
    </w:p>
    <w:p>
      <w:pPr>
        <w:spacing w:after="0" w:line="146" w:lineRule="exact"/>
        <w:rPr>
          <w:rFonts w:ascii="Times New Roman" w:cs="Times New Roman" w:eastAsia="Times New Roman" w:hAnsi="Times New Roman"/>
          <w:sz w:val="22"/>
          <w:szCs w:val="22"/>
          <w:color w:val="auto"/>
        </w:rPr>
      </w:pPr>
    </w:p>
    <w:p>
      <w:pPr>
        <w:jc w:val="both"/>
        <w:ind w:right="400" w:firstLine="751"/>
        <w:spacing w:after="0" w:line="241" w:lineRule="auto"/>
        <w:tabs>
          <w:tab w:leader="none" w:pos="114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Retention Payment</w:t>
      </w:r>
      <w:r>
        <w:rPr>
          <w:rFonts w:ascii="Times New Roman" w:cs="Times New Roman" w:eastAsia="Times New Roman" w:hAnsi="Times New Roman"/>
          <w:sz w:val="22"/>
          <w:szCs w:val="22"/>
          <w:color w:val="auto"/>
        </w:rPr>
        <w:t>. For purposes of this Agreement and any severance, change in control plan, or similar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or policy, the Retention Payment shall be treated as a retention payment and not a severance payment. Accordingly, the Retention Payment shall not offset any other severance or similar obligation of the Company under any other plan or policy.</w:t>
      </w:r>
    </w:p>
    <w:p>
      <w:pPr>
        <w:spacing w:after="0" w:line="131" w:lineRule="exact"/>
        <w:rPr>
          <w:rFonts w:ascii="Times New Roman" w:cs="Times New Roman" w:eastAsia="Times New Roman" w:hAnsi="Times New Roman"/>
          <w:sz w:val="22"/>
          <w:szCs w:val="22"/>
          <w:color w:val="auto"/>
        </w:rPr>
      </w:pPr>
    </w:p>
    <w:p>
      <w:pPr>
        <w:ind w:right="260" w:firstLine="751"/>
        <w:spacing w:after="0" w:line="238" w:lineRule="auto"/>
        <w:tabs>
          <w:tab w:leader="none" w:pos="114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At-will Employment</w:t>
      </w:r>
      <w:r>
        <w:rPr>
          <w:rFonts w:ascii="Times New Roman" w:cs="Times New Roman" w:eastAsia="Times New Roman" w:hAnsi="Times New Roman"/>
          <w:sz w:val="22"/>
          <w:szCs w:val="22"/>
          <w:color w:val="auto"/>
        </w:rPr>
        <w:t>. Nothing in this Agreement shall change your status as an at-will employee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meaning that either the Company or you may terminate the employment relationship at any time and for any reason. In addition, for purposes of clarity and the avoidance of doubt, nothing in this Agreement shall change, modify or alter in any way your participation or rights in any Company plan, program, or arrangement in which you are participating or under which you have rights.</w:t>
      </w:r>
    </w:p>
    <w:p>
      <w:pPr>
        <w:spacing w:after="0" w:line="136" w:lineRule="exact"/>
        <w:rPr>
          <w:rFonts w:ascii="Times New Roman" w:cs="Times New Roman" w:eastAsia="Times New Roman" w:hAnsi="Times New Roman"/>
          <w:sz w:val="22"/>
          <w:szCs w:val="22"/>
          <w:color w:val="auto"/>
        </w:rPr>
      </w:pPr>
    </w:p>
    <w:p>
      <w:pPr>
        <w:ind w:right="40" w:firstLine="751"/>
        <w:spacing w:after="0" w:line="237" w:lineRule="auto"/>
        <w:tabs>
          <w:tab w:leader="none" w:pos="115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color w:val="auto"/>
        </w:rPr>
        <w:t>. It is intended that payments made under this Agreement be exempt from, or compliant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requirements of, Section 409A of the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and this Agreement shall be interpreted and administered in accordance with that intent. If any provision of this Agreement would otherwise conflict with or frustrate this intent, that provision will be interpreted and deemed amended so as to avoid the</w:t>
      </w:r>
    </w:p>
    <w:p>
      <w:pPr>
        <w:ind w:right="40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conflict. Any payments that qualify for the “short-term deferral” exception under Section 409A of the Code shall be paid under that applicable exception. Any references to termination of employment, date of termination or similar term shall mean and refer to the date of your</w:t>
      </w:r>
    </w:p>
    <w:p>
      <w:pPr>
        <w:spacing w:after="0" w:line="1" w:lineRule="exact"/>
        <w:rPr>
          <w:rFonts w:ascii="Times New Roman" w:cs="Times New Roman" w:eastAsia="Times New Roman" w:hAnsi="Times New Roman"/>
          <w:sz w:val="22"/>
          <w:szCs w:val="22"/>
          <w:color w:val="auto"/>
        </w:rPr>
      </w:pPr>
    </w:p>
    <w:p>
      <w:pPr>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“separation from service,” as that term is defined in Section 409A of the Code and Treasury Regulation Section 1.409A-1(h). Notwithstanding any other provision of this Agreement to the contrary, if you are considered a “specified employee” for purposes of Section 409A of the Code (as determined in accordance with the methodology established by the Company as in effect on the termination date), any payment under this Agreement that constitutes non-exempt,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211455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1440" w:right="359" w:bottom="1440" w:gutter="0" w:footer="0" w:header="0"/>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nonqualified deferred compensation within the meaning of Section 409A of the Code that is otherwise due to you under this Agreement during the six (6)-month period immediately following your separation from service (as determined in accordance with Section 409A of the Code) on account of your separation from service shall be accumulated and paid to you on the first (1st) business day of the seventh (7th) month following your separation from service (the “</w:t>
      </w:r>
      <w:r>
        <w:rPr>
          <w:rFonts w:ascii="Times New Roman" w:cs="Times New Roman" w:eastAsia="Times New Roman" w:hAnsi="Times New Roman"/>
          <w:sz w:val="22"/>
          <w:szCs w:val="22"/>
          <w:b w:val="1"/>
          <w:bCs w:val="1"/>
          <w:color w:val="auto"/>
        </w:rPr>
        <w:t>Delayed Payment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If you die during the postponement period, the amounts and entitlements delayed on account of Section 409A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Code shall be paid to the personal representative of your estate on the earlier of the Delayed Payment Date and thirty (30) calendar days after the date of your death.</w:t>
      </w:r>
    </w:p>
    <w:p>
      <w:pPr>
        <w:spacing w:after="0" w:line="139" w:lineRule="exact"/>
        <w:rPr>
          <w:sz w:val="20"/>
          <w:szCs w:val="20"/>
          <w:color w:val="auto"/>
        </w:rPr>
      </w:pPr>
    </w:p>
    <w:p>
      <w:pPr>
        <w:ind w:firstLine="751"/>
        <w:spacing w:after="0" w:line="245" w:lineRule="auto"/>
        <w:tabs>
          <w:tab w:leader="none" w:pos="1153"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Miscellaneous</w:t>
      </w:r>
      <w:r>
        <w:rPr>
          <w:rFonts w:ascii="Times New Roman" w:cs="Times New Roman" w:eastAsia="Times New Roman" w:hAnsi="Times New Roman"/>
          <w:sz w:val="21"/>
          <w:szCs w:val="21"/>
          <w:color w:val="auto"/>
        </w:rPr>
        <w:t>. This Agreement contains all of the understandings and representations between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you relating to any retention payment and supersedes all prior and contemporaneous understandings, discussions, agreements, representations and warranties, both written and oral, with respect to any retention payment. For the avoidance of doubt, this Agreement shall not supersede any other agreements between the Company and you, which shall remain in full force and effect. This Agreement shall be governed by the laws of the Commonwealth of Virginia without giving effect to the conflict of laws provisions thereof to the extent such rules would require or permit application of the laws of any other jurisdiction. This Agreement is personal to you and shall not be assignable by you other than by will or the laws of descent and distribution. This Agreement shall inure to the benefit of and be enforceable by your legal representatives. This Agreement shall inure to the benefit of and be binding upon the Company and its successors and assigns. As used in this Agreement, “Company” shall mean the Company as hereinbefore defined and its successors. No provision of this Agreement shall be modified or amended except by an instrument in writing duly executed by the parties hereto.</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223520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700" w:top="1440" w:right="379" w:bottom="1440" w:gutter="0" w:footer="0" w:header="0"/>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80" w:right="300" w:firstLine="758"/>
        <w:spacing w:after="0" w:line="258" w:lineRule="auto"/>
        <w:rPr>
          <w:sz w:val="20"/>
          <w:szCs w:val="20"/>
          <w:color w:val="auto"/>
        </w:rPr>
      </w:pPr>
      <w:r>
        <w:rPr>
          <w:rFonts w:ascii="Times New Roman" w:cs="Times New Roman" w:eastAsia="Times New Roman" w:hAnsi="Times New Roman"/>
          <w:sz w:val="22"/>
          <w:szCs w:val="22"/>
          <w:color w:val="auto"/>
        </w:rPr>
        <w:t>We look forward to a very promising future together with Nexstar. In order to be eligible to receive the Retention Payment, it is important that you sign this Agreement and return it to Alex Tolston as soon as practicable.</w:t>
      </w:r>
    </w:p>
    <w:p>
      <w:pPr>
        <w:spacing w:after="0" w:line="200" w:lineRule="exact"/>
        <w:rPr>
          <w:sz w:val="20"/>
          <w:szCs w:val="20"/>
          <w:color w:val="auto"/>
        </w:rPr>
      </w:pPr>
    </w:p>
    <w:p>
      <w:pPr>
        <w:spacing w:after="0" w:line="377" w:lineRule="exact"/>
        <w:rPr>
          <w:sz w:val="20"/>
          <w:szCs w:val="20"/>
          <w:color w:val="auto"/>
        </w:rPr>
      </w:pPr>
    </w:p>
    <w:tbl>
      <w:tblPr>
        <w:tblLayout w:type="fixed"/>
        <w:tblInd w:w="4880" w:type="dxa"/>
        <w:tblCellMar>
          <w:top w:w="0" w:type="dxa"/>
          <w:left w:w="0" w:type="dxa"/>
          <w:bottom w:w="0" w:type="dxa"/>
          <w:right w:w="0" w:type="dxa"/>
        </w:tblCellMar>
      </w:tblP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Sincerely,</w:t>
            </w:r>
          </w:p>
        </w:tc>
        <w:tc>
          <w:tcPr>
            <w:tcW w:w="4940" w:type="dxa"/>
            <w:vAlign w:val="bottom"/>
          </w:tcPr>
          <w:p>
            <w:pPr>
              <w:spacing w:after="0"/>
              <w:rPr>
                <w:sz w:val="24"/>
                <w:szCs w:val="24"/>
                <w:color w:val="auto"/>
              </w:rPr>
            </w:pPr>
          </w:p>
        </w:tc>
      </w:tr>
      <w:tr>
        <w:trPr>
          <w:trHeight w:val="717"/>
        </w:trPr>
        <w:tc>
          <w:tcPr>
            <w:tcW w:w="142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Mike Steib</w:t>
            </w:r>
          </w:p>
        </w:tc>
      </w:tr>
      <w:tr>
        <w:trPr>
          <w:trHeight w:val="209"/>
        </w:trPr>
        <w:tc>
          <w:tcPr>
            <w:tcW w:w="1420" w:type="dxa"/>
            <w:vAlign w:val="bottom"/>
          </w:tcPr>
          <w:p>
            <w:pPr>
              <w:ind w:left="520"/>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494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Mike Steib</w:t>
            </w:r>
          </w:p>
        </w:tc>
      </w:tr>
      <w:tr>
        <w:trPr>
          <w:trHeight w:val="282"/>
        </w:trPr>
        <w:tc>
          <w:tcPr>
            <w:tcW w:w="142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22"/>
                <w:szCs w:val="22"/>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and Acknowledged as of the day first written above: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Alex Tolston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54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Alex Tolston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Michael Steib, certify that:</w:t>
      </w:r>
    </w:p>
    <w:p>
      <w:pPr>
        <w:spacing w:after="0" w:line="113" w:lineRule="exact"/>
        <w:rPr>
          <w:sz w:val="20"/>
          <w:szCs w:val="20"/>
          <w:color w:val="auto"/>
        </w:rPr>
      </w:pPr>
    </w:p>
    <w:p>
      <w:pPr>
        <w:ind w:left="760" w:hanging="752"/>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TEGNA Inc.;</w:t>
      </w:r>
    </w:p>
    <w:p>
      <w:pPr>
        <w:spacing w:after="0" w:line="113" w:lineRule="exact"/>
        <w:rPr>
          <w:rFonts w:ascii="Arial" w:cs="Arial" w:eastAsia="Arial" w:hAnsi="Arial"/>
          <w:sz w:val="16"/>
          <w:szCs w:val="16"/>
          <w:color w:val="auto"/>
        </w:rPr>
      </w:pPr>
    </w:p>
    <w:p>
      <w:pPr>
        <w:jc w:val="both"/>
        <w:ind w:left="760" w:right="20" w:hanging="752"/>
        <w:spacing w:after="0" w:line="266" w:lineRule="auto"/>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Arial" w:cs="Arial" w:eastAsia="Arial" w:hAnsi="Arial"/>
          <w:sz w:val="16"/>
          <w:szCs w:val="16"/>
          <w:color w:val="auto"/>
        </w:rPr>
      </w:pPr>
    </w:p>
    <w:p>
      <w:pPr>
        <w:ind w:left="760" w:right="140" w:hanging="752"/>
        <w:spacing w:after="0" w:line="286" w:lineRule="auto"/>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6"/>
          <w:szCs w:val="16"/>
          <w:color w:val="auto"/>
        </w:rPr>
      </w:pPr>
    </w:p>
    <w:p>
      <w:pPr>
        <w:ind w:left="760" w:right="140" w:hanging="752"/>
        <w:spacing w:after="0" w:line="266" w:lineRule="auto"/>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3" w:lineRule="exact"/>
        <w:rPr>
          <w:rFonts w:ascii="Arial" w:cs="Arial" w:eastAsia="Arial" w:hAnsi="Arial"/>
          <w:sz w:val="16"/>
          <w:szCs w:val="16"/>
          <w:color w:val="auto"/>
        </w:rPr>
      </w:pPr>
    </w:p>
    <w:p>
      <w:pPr>
        <w:ind w:left="1500" w:right="40" w:hanging="743"/>
        <w:spacing w:after="0" w:line="266" w:lineRule="auto"/>
        <w:tabs>
          <w:tab w:leader="none" w:pos="15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Arial" w:cs="Arial" w:eastAsia="Arial" w:hAnsi="Arial"/>
          <w:sz w:val="16"/>
          <w:szCs w:val="16"/>
          <w:color w:val="auto"/>
        </w:rPr>
      </w:pPr>
    </w:p>
    <w:p>
      <w:pPr>
        <w:ind w:left="1500" w:right="40" w:hanging="743"/>
        <w:spacing w:after="0" w:line="266" w:lineRule="auto"/>
        <w:tabs>
          <w:tab w:leader="none" w:pos="15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6"/>
          <w:szCs w:val="16"/>
          <w:color w:val="auto"/>
        </w:rPr>
      </w:pPr>
    </w:p>
    <w:p>
      <w:pPr>
        <w:ind w:left="1500" w:hanging="743"/>
        <w:spacing w:after="0" w:line="275" w:lineRule="auto"/>
        <w:tabs>
          <w:tab w:leader="none" w:pos="15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3" w:lineRule="exact"/>
        <w:rPr>
          <w:rFonts w:ascii="Arial" w:cs="Arial" w:eastAsia="Arial" w:hAnsi="Arial"/>
          <w:sz w:val="16"/>
          <w:szCs w:val="16"/>
          <w:color w:val="auto"/>
        </w:rPr>
      </w:pPr>
    </w:p>
    <w:p>
      <w:pPr>
        <w:ind w:left="1500" w:right="40" w:hanging="743"/>
        <w:spacing w:after="0" w:line="266" w:lineRule="auto"/>
        <w:tabs>
          <w:tab w:leader="none" w:pos="15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63" w:lineRule="exact"/>
        <w:rPr>
          <w:rFonts w:ascii="Arial" w:cs="Arial" w:eastAsia="Arial" w:hAnsi="Arial"/>
          <w:sz w:val="16"/>
          <w:szCs w:val="16"/>
          <w:color w:val="auto"/>
        </w:rPr>
      </w:pPr>
    </w:p>
    <w:p>
      <w:pPr>
        <w:ind w:left="760" w:right="80" w:hanging="752"/>
        <w:spacing w:after="0" w:line="286" w:lineRule="auto"/>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6"/>
          <w:szCs w:val="16"/>
          <w:color w:val="auto"/>
        </w:rPr>
      </w:pPr>
    </w:p>
    <w:p>
      <w:pPr>
        <w:ind w:left="1500" w:right="440" w:hanging="743"/>
        <w:spacing w:after="0" w:line="286" w:lineRule="auto"/>
        <w:tabs>
          <w:tab w:leader="none" w:pos="15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6"/>
          <w:szCs w:val="16"/>
          <w:color w:val="auto"/>
        </w:rPr>
      </w:pPr>
    </w:p>
    <w:p>
      <w:pPr>
        <w:ind w:left="1500" w:right="80" w:hanging="743"/>
        <w:spacing w:after="0" w:line="286" w:lineRule="auto"/>
        <w:tabs>
          <w:tab w:leader="none" w:pos="15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/s/ Michael Steib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364299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3642995"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Michael Steib</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November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Julie A. Heskett, certify that:</w:t>
      </w:r>
    </w:p>
    <w:p>
      <w:pPr>
        <w:spacing w:after="0" w:line="113" w:lineRule="exact"/>
        <w:rPr>
          <w:sz w:val="20"/>
          <w:szCs w:val="20"/>
          <w:color w:val="auto"/>
        </w:rPr>
      </w:pPr>
    </w:p>
    <w:p>
      <w:pPr>
        <w:ind w:left="760" w:hanging="752"/>
        <w:spacing w:after="0"/>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TEGNA Inc.;</w:t>
      </w:r>
    </w:p>
    <w:p>
      <w:pPr>
        <w:spacing w:after="0" w:line="113" w:lineRule="exact"/>
        <w:rPr>
          <w:rFonts w:ascii="Arial" w:cs="Arial" w:eastAsia="Arial" w:hAnsi="Arial"/>
          <w:sz w:val="16"/>
          <w:szCs w:val="16"/>
          <w:color w:val="auto"/>
        </w:rPr>
      </w:pPr>
    </w:p>
    <w:p>
      <w:pPr>
        <w:jc w:val="both"/>
        <w:ind w:left="760" w:right="20" w:hanging="752"/>
        <w:spacing w:after="0" w:line="266" w:lineRule="auto"/>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Arial" w:cs="Arial" w:eastAsia="Arial" w:hAnsi="Arial"/>
          <w:sz w:val="16"/>
          <w:szCs w:val="16"/>
          <w:color w:val="auto"/>
        </w:rPr>
      </w:pPr>
    </w:p>
    <w:p>
      <w:pPr>
        <w:ind w:left="760" w:right="140" w:hanging="752"/>
        <w:spacing w:after="0" w:line="286" w:lineRule="auto"/>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6"/>
          <w:szCs w:val="16"/>
          <w:color w:val="auto"/>
        </w:rPr>
      </w:pPr>
    </w:p>
    <w:p>
      <w:pPr>
        <w:ind w:left="760" w:right="140" w:hanging="752"/>
        <w:spacing w:after="0" w:line="266" w:lineRule="auto"/>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3" w:lineRule="exact"/>
        <w:rPr>
          <w:rFonts w:ascii="Arial" w:cs="Arial" w:eastAsia="Arial" w:hAnsi="Arial"/>
          <w:sz w:val="16"/>
          <w:szCs w:val="16"/>
          <w:color w:val="auto"/>
        </w:rPr>
      </w:pPr>
    </w:p>
    <w:p>
      <w:pPr>
        <w:ind w:left="1500" w:right="40" w:hanging="743"/>
        <w:spacing w:after="0" w:line="266" w:lineRule="auto"/>
        <w:tabs>
          <w:tab w:leader="none" w:pos="15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Arial" w:cs="Arial" w:eastAsia="Arial" w:hAnsi="Arial"/>
          <w:sz w:val="16"/>
          <w:szCs w:val="16"/>
          <w:color w:val="auto"/>
        </w:rPr>
      </w:pPr>
    </w:p>
    <w:p>
      <w:pPr>
        <w:ind w:left="1500" w:right="40" w:hanging="743"/>
        <w:spacing w:after="0" w:line="266" w:lineRule="auto"/>
        <w:tabs>
          <w:tab w:leader="none" w:pos="15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6"/>
          <w:szCs w:val="16"/>
          <w:color w:val="auto"/>
        </w:rPr>
      </w:pPr>
    </w:p>
    <w:p>
      <w:pPr>
        <w:ind w:left="1500" w:hanging="743"/>
        <w:spacing w:after="0" w:line="275" w:lineRule="auto"/>
        <w:tabs>
          <w:tab w:leader="none" w:pos="15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3" w:lineRule="exact"/>
        <w:rPr>
          <w:rFonts w:ascii="Arial" w:cs="Arial" w:eastAsia="Arial" w:hAnsi="Arial"/>
          <w:sz w:val="16"/>
          <w:szCs w:val="16"/>
          <w:color w:val="auto"/>
        </w:rPr>
      </w:pPr>
    </w:p>
    <w:p>
      <w:pPr>
        <w:ind w:left="1500" w:right="40" w:hanging="743"/>
        <w:spacing w:after="0" w:line="266" w:lineRule="auto"/>
        <w:tabs>
          <w:tab w:leader="none" w:pos="15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63" w:lineRule="exact"/>
        <w:rPr>
          <w:rFonts w:ascii="Arial" w:cs="Arial" w:eastAsia="Arial" w:hAnsi="Arial"/>
          <w:sz w:val="16"/>
          <w:szCs w:val="16"/>
          <w:color w:val="auto"/>
        </w:rPr>
      </w:pPr>
    </w:p>
    <w:p>
      <w:pPr>
        <w:ind w:left="760" w:right="80" w:hanging="752"/>
        <w:spacing w:after="0" w:line="286" w:lineRule="auto"/>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6"/>
          <w:szCs w:val="16"/>
          <w:color w:val="auto"/>
        </w:rPr>
      </w:pPr>
    </w:p>
    <w:p>
      <w:pPr>
        <w:ind w:left="1500" w:right="440" w:hanging="743"/>
        <w:spacing w:after="0" w:line="286" w:lineRule="auto"/>
        <w:tabs>
          <w:tab w:leader="none" w:pos="15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6"/>
          <w:szCs w:val="16"/>
          <w:color w:val="auto"/>
        </w:rPr>
      </w:pPr>
    </w:p>
    <w:p>
      <w:pPr>
        <w:ind w:left="1500" w:right="80" w:hanging="743"/>
        <w:spacing w:after="0" w:line="286" w:lineRule="auto"/>
        <w:tabs>
          <w:tab w:leader="none" w:pos="15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/s/ Julie A. Heskett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364299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Julie A. Heskett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and 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Date: November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6"/>
          <w:szCs w:val="16"/>
          <w:b w:val="1"/>
          <w:bCs w:val="1"/>
          <w:color w:val="auto"/>
        </w:rPr>
        <w:t>EXHIBIT 32-1</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38" w:lineRule="exact"/>
        <w:rPr>
          <w:sz w:val="20"/>
          <w:szCs w:val="20"/>
          <w:color w:val="auto"/>
        </w:rPr>
      </w:pPr>
    </w:p>
    <w:p>
      <w:pPr>
        <w:ind w:right="40" w:firstLine="515"/>
        <w:spacing w:after="0" w:line="266" w:lineRule="auto"/>
        <w:rPr>
          <w:sz w:val="20"/>
          <w:szCs w:val="20"/>
          <w:color w:val="auto"/>
        </w:rPr>
      </w:pPr>
      <w:r>
        <w:rPr>
          <w:rFonts w:ascii="Arial" w:cs="Arial" w:eastAsia="Arial" w:hAnsi="Arial"/>
          <w:sz w:val="16"/>
          <w:szCs w:val="16"/>
          <w:color w:val="auto"/>
        </w:rPr>
        <w:t>In connection with the Quarterly Report of TEGNA Inc. (“TEGNA”) on Form 10-Q for the period ending September 30, 2025 as filed with the Securities and Exchange Commission on the date hereof (the “Report”), I, Michael Steib, president and chief executive officer of TEGNA, certify, pursuant to 18 U.S.C. Section 1350, as adopted pursuant to Section 906 of the Sarbanes-Oxley Act of 2002, that:</w:t>
      </w:r>
    </w:p>
    <w:p>
      <w:pPr>
        <w:spacing w:after="0" w:line="104" w:lineRule="exact"/>
        <w:rPr>
          <w:sz w:val="20"/>
          <w:szCs w:val="20"/>
          <w:color w:val="auto"/>
        </w:rPr>
      </w:pPr>
    </w:p>
    <w:p>
      <w:pPr>
        <w:ind w:left="1540" w:hanging="409"/>
        <w:spacing w:after="0"/>
        <w:tabs>
          <w:tab w:leader="none" w:pos="1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40" w:lineRule="exact"/>
        <w:rPr>
          <w:rFonts w:ascii="Arial" w:cs="Arial" w:eastAsia="Arial" w:hAnsi="Arial"/>
          <w:sz w:val="16"/>
          <w:szCs w:val="16"/>
          <w:color w:val="auto"/>
        </w:rPr>
      </w:pPr>
    </w:p>
    <w:p>
      <w:pPr>
        <w:ind w:left="1540" w:hanging="409"/>
        <w:spacing w:after="0"/>
        <w:tabs>
          <w:tab w:leader="none" w:pos="1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TEGNA.</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/s/ Michael Steib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39090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Michael Steib</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November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556895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6"/>
          <w:szCs w:val="16"/>
          <w:b w:val="1"/>
          <w:bCs w:val="1"/>
          <w:color w:val="auto"/>
        </w:rPr>
        <w:t>EXHIBIT 32-2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38" w:lineRule="exact"/>
        <w:rPr>
          <w:sz w:val="20"/>
          <w:szCs w:val="20"/>
          <w:color w:val="auto"/>
        </w:rPr>
      </w:pPr>
    </w:p>
    <w:p>
      <w:pPr>
        <w:ind w:right="20" w:firstLine="515"/>
        <w:spacing w:after="0" w:line="266" w:lineRule="auto"/>
        <w:rPr>
          <w:sz w:val="20"/>
          <w:szCs w:val="20"/>
          <w:color w:val="auto"/>
        </w:rPr>
      </w:pPr>
      <w:r>
        <w:rPr>
          <w:rFonts w:ascii="Arial" w:cs="Arial" w:eastAsia="Arial" w:hAnsi="Arial"/>
          <w:sz w:val="16"/>
          <w:szCs w:val="16"/>
          <w:color w:val="auto"/>
        </w:rPr>
        <w:t>In connection with the Quarterly Report of TEGNA Inc. (“TEGNA”) on Form 10-Q for the period ending September 30, 2025 as filed with the Securities and Exchange Commission on the date hereof (the “Report”), I, Julie A. Heskett, senior vice president and chief financial officer of TEGNA, certify, pursuant to 18 U.S.C. Section 1350, as adopted pursuant to Section 906 of the Sarbanes-Oxley Act of 2002, that:</w:t>
      </w:r>
    </w:p>
    <w:p>
      <w:pPr>
        <w:spacing w:after="0" w:line="104" w:lineRule="exact"/>
        <w:rPr>
          <w:sz w:val="20"/>
          <w:szCs w:val="20"/>
          <w:color w:val="auto"/>
        </w:rPr>
      </w:pPr>
    </w:p>
    <w:p>
      <w:pPr>
        <w:ind w:left="1420" w:hanging="289"/>
        <w:spacing w:after="0"/>
        <w:tabs>
          <w:tab w:leader="none" w:pos="14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40" w:lineRule="exact"/>
        <w:rPr>
          <w:rFonts w:ascii="Arial" w:cs="Arial" w:eastAsia="Arial" w:hAnsi="Arial"/>
          <w:sz w:val="16"/>
          <w:szCs w:val="16"/>
          <w:color w:val="auto"/>
        </w:rPr>
      </w:pPr>
    </w:p>
    <w:p>
      <w:pPr>
        <w:ind w:left="1420" w:hanging="289"/>
        <w:spacing w:after="0"/>
        <w:tabs>
          <w:tab w:leader="none" w:pos="14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TEGNA.</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/s/ Julie A. Heskett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39090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Julie A. Heskett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and 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November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556895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3" w:name="page54"/>
    <w:bookmarkEnd w:id="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bullet"/>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lowerLetter"/>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decimal"/>
      <w:start w:val="12"/>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1)"/>
      <w:numFmt w:val="lowerLetter"/>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1."/>
      <w:numFmt w:val="decimal"/>
      <w:start w:val="2"/>
    </w:lvl>
  </w:abstractNum>
  <w:abstractNum w:abstractNumId="20">
    <w:nsid w:val="2901D82"/>
    <w:multiLevelType w:val="hybridMultilevel"/>
    <w:lvl w:ilvl="0">
      <w:lvlJc w:val="left"/>
      <w:lvlText w:val="%1."/>
      <w:numFmt w:val="decimal"/>
      <w:start w:val="6"/>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1."/>
      <w:numFmt w:val="decimal"/>
      <w:start w:val="2"/>
    </w:lvl>
  </w:abstractNum>
  <w:abstractNum w:abstractNumId="24">
    <w:nsid w:val="7C3DBD3D"/>
    <w:multiLevelType w:val="hybridMultilevel"/>
    <w:lvl w:ilvl="0">
      <w:lvlJc w:val="left"/>
      <w:lvlText w:val="%1."/>
      <w:numFmt w:val="decimal"/>
      <w:start w:val="6"/>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1."/>
      <w:numFmt w:val="decimal"/>
      <w:start w:val="2"/>
    </w:lvl>
  </w:abstractNum>
  <w:abstractNum w:abstractNumId="28">
    <w:nsid w:val="4516DDE9"/>
    <w:multiLevelType w:val="hybridMultilevel"/>
    <w:lvl w:ilvl="0">
      <w:lvlJc w:val="left"/>
      <w:lvlText w:val="%1."/>
      <w:numFmt w:val="decimal"/>
      <w:start w:val="6"/>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decimal"/>
      <w:start w:val="2"/>
    </w:lvl>
  </w:abstractNum>
  <w:abstractNum w:abstractNumId="32">
    <w:nsid w:val="5577F8E1"/>
    <w:multiLevelType w:val="hybridMultilevel"/>
    <w:lvl w:ilvl="0">
      <w:lvlJc w:val="left"/>
      <w:lvlText w:val="%1."/>
      <w:numFmt w:val="decimal"/>
      <w:start w:val="6"/>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jpe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jpe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jpe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jpe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17" Type="http://schemas.openxmlformats.org/officeDocument/2006/relationships/hyperlink" Target="https://www.sec.gov/Archives/edgar/data/39899/000110465925080003/tm2523793d1_ex2-1.htm" TargetMode="External"/><Relationship Id="rId218" Type="http://schemas.openxmlformats.org/officeDocument/2006/relationships/hyperlink" Target="https://www.sec.gov/Archives/edgar/data/39899/000095017024048437/tgna-ex3_1.htm" TargetMode="External"/><Relationship Id="rId219" Type="http://schemas.openxmlformats.org/officeDocument/2006/relationships/hyperlink" Target="https://www.sec.gov/Archives/edgar/data/39899/000110465925085771/tm2523861d2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2025-11-10T06:53:57Z</dcterms:created>
  <dcterms:modified xsi:type="dcterms:W3CDTF">2025-11-10T06:53:57Z</dcterms:modified>
</cp:coreProperties>
</file>